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1E9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8"/>
          <w:rFonts w:hint="default" w:ascii="微软雅黑" w:hAnsi="微软雅黑" w:eastAsia="微软雅黑" w:cs="微软雅黑"/>
          <w:i w:val="0"/>
          <w:iCs w:val="0"/>
          <w:caps w:val="0"/>
          <w:color w:val="2F2F2F"/>
          <w:spacing w:val="0"/>
          <w:sz w:val="21"/>
          <w:szCs w:val="21"/>
          <w:bdr w:val="none" w:color="auto" w:sz="0" w:space="0"/>
          <w:shd w:val="clear" w:fill="FFFFFF"/>
          <w:lang w:val="en-US" w:eastAsia="zh-CN"/>
        </w:rPr>
      </w:pPr>
      <w:r>
        <w:rPr>
          <w:rStyle w:val="8"/>
          <w:rFonts w:hint="eastAsia" w:ascii="楷体" w:hAnsi="楷体" w:eastAsia="楷体" w:cs="楷体"/>
          <w:i w:val="0"/>
          <w:iCs w:val="0"/>
          <w:caps w:val="0"/>
          <w:color w:val="2F2F2F"/>
          <w:spacing w:val="0"/>
          <w:sz w:val="30"/>
          <w:szCs w:val="30"/>
          <w:bdr w:val="none" w:color="auto" w:sz="0" w:space="0"/>
          <w:shd w:val="clear" w:fill="FFFFFF"/>
          <w:lang w:val="en-US" w:eastAsia="zh-CN"/>
        </w:rPr>
        <w:t>婚姻家庭典型案例</w:t>
      </w:r>
    </w:p>
    <w:p w14:paraId="4ADFCF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案例一　扶养人尽到生养死葬义务，有权依据遗赠扶养协议取得遗产——蔡某诉庞小某等遗赠扶养协议纠纷案</w:t>
      </w:r>
    </w:p>
    <w:p w14:paraId="4AE8C1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基本案情</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2F2F2F"/>
          <w:spacing w:val="0"/>
          <w:sz w:val="21"/>
          <w:szCs w:val="21"/>
          <w:bdr w:val="none" w:color="auto" w:sz="0" w:space="0"/>
          <w:shd w:val="clear" w:fill="FFFFFF"/>
        </w:rPr>
        <w:t>　　戴某与第一任丈夫生育庞小某，丈夫于1992年离世。与第二任丈夫蔡某于2017年离婚。2019年开始，戴某因身患多种疾病，长期卧床，需要人陪护照顾，求助庞小某，庞小某不顾不理，还表示不愿意负担母亲日后的治疗费用。戴某后与蔡某签订《协议书》，约定由蔡某作为扶养人，负责照顾戴某日后生活起居，支付医疗费并处理丧葬事宜，戴某去世之后，将其名下房屋赠与蔡某。</w:t>
      </w:r>
    </w:p>
    <w:p w14:paraId="733E5A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签订协议后，蔡某依约履行义务直至戴某离世。蔡某处理完戴某的丧葬事宜，依据《协议书》主张权利时，庞小某拒绝协助蔡某办理房屋变更登记事宜。蔡某遂将庞小某诉至法院，请求依法取得戴某名下房屋。</w:t>
      </w:r>
    </w:p>
    <w:p w14:paraId="4FD00E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裁判情况</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2F2F2F"/>
          <w:spacing w:val="0"/>
          <w:sz w:val="21"/>
          <w:szCs w:val="21"/>
          <w:bdr w:val="none" w:color="auto" w:sz="0" w:space="0"/>
          <w:shd w:val="clear" w:fill="FFFFFF"/>
        </w:rPr>
        <w:t>　　审理法院认为，戴某与蔡某签订的《协议书》性质上属于遗赠扶养协议，是在见证人的见证下签订完成，系双方真实意思表示、合法有效。蔡某对戴某生前尽了扶养义务，在戴某死后也为其办理了殡葬等事宜，有权依据协议约定取得戴某名下房屋。庞小某作为戴某的儿子，在戴某患病情况下未履行赡养义务，在戴某去世后又主张按法定继承分配案涉房屋，其主张不能成立。遂判决蔡某受遗赠取得戴某名下房屋。</w:t>
      </w:r>
    </w:p>
    <w:p w14:paraId="3C9436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典型意义</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2F2F2F"/>
          <w:spacing w:val="0"/>
          <w:sz w:val="21"/>
          <w:szCs w:val="21"/>
          <w:bdr w:val="none" w:color="auto" w:sz="0" w:space="0"/>
          <w:shd w:val="clear" w:fill="FFFFFF"/>
        </w:rPr>
        <w:t>　　《中华人民共和国民法典》第一千一百五十八条规定“自然人可以与继承人以外的组织或者个人签订遗赠扶养协议。按照协议，该组织或者个人承担该自然人生养死葬的义务，享有受遗赠的权利”。遗赠扶养协议制度为人民群众提供了行为准则和价值引导，有利于保障老年人“老有所养，老有所依”。如果扶养人如约履行协议约定的生养死葬的义务，人民法院应当尊重当事人意思自治，对扶养人的合法权益予以保护。</w:t>
      </w:r>
    </w:p>
    <w:p w14:paraId="338EEB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案例二</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 xml:space="preserve">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遗嘱应当为缺乏劳动能力又没有生活来源的继承人保留必要遗产份额——刘某与范小某遗嘱继承纠纷案</w:t>
      </w:r>
    </w:p>
    <w:p w14:paraId="11DCF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基本案情</w:t>
      </w:r>
    </w:p>
    <w:p w14:paraId="68126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范某与吉某原系夫妻关系，于1989年育有范小某，后二人离婚，范某2011年与刘某再婚。范小某自2006年即患有肾病并于2016年开始透析治疗，2020年出现脑出血。范某2021年6月订立自书遗嘱一份，载明：“我所有的房产及家里的一切财产，待我百年后，由妻子刘某一人继承，产权归刘某一人所有。”</w:t>
      </w:r>
    </w:p>
    <w:p w14:paraId="16177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2021年11月，范某去世。刘某诉至法院，要求按照遗嘱内容继承案涉房屋。诉讼中，范小某辩称其身患重病，丧失劳动能力，亦无生活来源，范某虽留有遗嘱，但该遗嘱未按照法律规定为其留有必要份额，故该遗嘱部分无效，其有权继承案涉房屋的部分份额。</w:t>
      </w:r>
    </w:p>
    <w:p w14:paraId="23A3E4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裁判情况</w:t>
      </w:r>
    </w:p>
    <w:p w14:paraId="52CAE8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审理法院认为，范某在自书遗嘱中指定刘某为唯一继承人虽是其真实意思表示，但因范小某作为范某的法定继承人身患肾病多年，缺乏劳动能力又无生活来源，故应为其保留必要份额。结合案涉房屋价值和双方实际生活情况，酌定由刘某给付范小某房屋折价款。遂判决：案涉房屋由刘某继承，刘某给付范小某相应房屋折价款。</w:t>
      </w:r>
    </w:p>
    <w:p w14:paraId="3AE822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典型意义</w:t>
      </w:r>
    </w:p>
    <w:p w14:paraId="0233B9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中华人民共和国民法典》第一千一百四十一条规定：“遗嘱应当为缺乏劳动能力又没有生活来源的继承人保留必要的遗产份额。”该条规定的必留份制度是对遗嘱自由的限制，旨在平衡遗嘱自由和法定继承人的利益，以求最大限度保护缺乏劳动能力又没有生活来源的继承人的生存权利。遗嘱人未为缺乏劳动能力又没有生活来源的继承人保留遗产份额的，遗产处理时，应当为该继承人留下必要的遗产，所剩余的部分，才可参照遗嘱确定的分配原则处理。本案裁判通过房屋折价补偿的方式,既保障了缺乏劳动能力又没有生活来源的范小某的权益，又尊重了范某遗嘱中财产由刘某继承的遗愿，实现了保护弱势群体权益和尊重遗嘱自由的有效平衡。</w:t>
      </w:r>
    </w:p>
    <w:p w14:paraId="64B857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案例二</w:t>
      </w:r>
      <w:r>
        <w:rPr>
          <w:rStyle w:val="8"/>
          <w:rFonts w:hint="eastAsia" w:ascii="微软雅黑" w:hAnsi="微软雅黑" w:eastAsia="微软雅黑" w:cs="微软雅黑"/>
          <w:i w:val="0"/>
          <w:iCs w:val="0"/>
          <w:caps w:val="0"/>
          <w:color w:val="2F2F2F"/>
          <w:spacing w:val="0"/>
          <w:sz w:val="21"/>
          <w:szCs w:val="21"/>
          <w:shd w:val="clear" w:fill="FFFFFF"/>
          <w:lang w:val="en-US" w:eastAsia="zh-CN"/>
        </w:rPr>
        <w:t xml:space="preserve">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继承人不履行赡养义务，遗弃被继承人的，丧失继承权　——高某乙诉高小某法定继承纠纷案</w:t>
      </w:r>
    </w:p>
    <w:p w14:paraId="6F747A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　　基本案情</w:t>
      </w:r>
    </w:p>
    <w:p w14:paraId="7137E5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高某甲与高小某系父子关系，高小某为独生子女。1992年，高小某（时年20周岁）在与父母的一次争执之后离家出走，从此对父母不闻不问。母亲患病时其未照顾，去世时未奔丧。高某甲身患重病期间，做大手术，需要接送、看护和照顾，但高小某也未出现。高某甲有四个兄弟姐妹，分别为高某乙、高某丙、高某丁和高某戊。高某乙对高某甲夫妻照顾较多。</w:t>
      </w:r>
    </w:p>
    <w:p w14:paraId="06CEFC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高某甲去世后，高某乙联系高小某处理高某甲的骨灰落葬事宜，高小某不予理睬，却以唯一法定继承人的身份，领取了高某甲名下部分银行存单。</w:t>
      </w:r>
    </w:p>
    <w:p w14:paraId="78774D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高某乙起诉至法院，认为高小某遗弃高某甲，应丧失继承权，高某甲的遗产应由第二顺序继承人继承。高某丙、高某丁和高某戊均认可高小某应丧失继承权，并出具声明书表示放弃继承高某甲的遗产。</w:t>
      </w:r>
    </w:p>
    <w:p w14:paraId="54E06A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裁判情况</w:t>
      </w:r>
    </w:p>
    <w:p w14:paraId="6EFA90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审理法院认为，子女应当履行对老年人经济上供养、生活上照料和精神上慰藉的赡养义务。继承人遗弃被继承人的，依法应丧失继承权。高小某自1992年离家后，三十余年来对被继承人不闻不问、置之不理。不仅未给予父母任何经济帮助，亦未有电话联系，没有任何经济和精神赡养，父母去世后，亦怠于对父母送终，对高某甲已经构成遗弃。遂判决：高某甲的遗产归高某乙继承所有；高小某在高某甲去世后自高某甲账户内所取款项归高某乙继承所有，高小某应于判决生效之日起十日内返还。</w:t>
      </w:r>
    </w:p>
    <w:p w14:paraId="162758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典型意义</w:t>
      </w:r>
    </w:p>
    <w:p w14:paraId="61AA59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bdr w:val="none" w:color="auto" w:sz="0" w:space="0"/>
          <w:shd w:val="clear" w:fill="FFFFFF"/>
        </w:rPr>
        <w:t>　　《中华人民共和国民法典》第一千一百二十五条规定“继承人有下列行为之一的，丧失继承权：（三）遗弃被继承人，或者虐待被继承人情节严重”。孝敬父母，是我国传统美德的重要组成部分。父母给予子女生命和关爱，当父母年老体衰时，子女对其进行赡养是应有之义。赡养义务不因父母有收入、身体状况良好而免除。本案中，高小某三十余年对父母没有任何赡养行为，法院认定其行为构成遗弃，并判决其丧失继承权，对其行为作出了否定性评价，彰显了法律对社会价值的正面引导，有利于弘扬中华民族孝亲敬老的传统美德。</w:t>
      </w:r>
    </w:p>
    <w:p w14:paraId="2E6696D3">
      <w:pPr>
        <w:keepNext w:val="0"/>
        <w:keepLines w:val="0"/>
        <w:pageBreakBefore w:val="0"/>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i w:val="0"/>
          <w:iCs w:val="0"/>
          <w:caps w:val="0"/>
          <w:color w:val="2F2F2F"/>
          <w:spacing w:val="0"/>
          <w:sz w:val="21"/>
          <w:szCs w:val="21"/>
          <w:bdr w:val="none" w:color="auto" w:sz="0" w:space="0"/>
          <w:shd w:val="clear" w:fill="FFFFFF"/>
        </w:rPr>
      </w:pP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案例</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四</w:t>
      </w:r>
      <w:r>
        <w:rPr>
          <w:rStyle w:val="8"/>
          <w:rFonts w:hint="eastAsia" w:ascii="微软雅黑" w:hAnsi="微软雅黑" w:eastAsia="微软雅黑" w:cs="微软雅黑"/>
          <w:i w:val="0"/>
          <w:iCs w:val="0"/>
          <w:caps w:val="0"/>
          <w:color w:val="2F2F2F"/>
          <w:spacing w:val="0"/>
          <w:sz w:val="21"/>
          <w:szCs w:val="21"/>
          <w:bdr w:val="none" w:color="auto" w:sz="0" w:space="0"/>
          <w:shd w:val="clear" w:fill="FFFFFF"/>
        </w:rPr>
        <w:t>：婚姻关系存续期间，一方父母将其房产转移登记至夫妻双方名下，离婚分割夫妻共同财产时，人民法院可以判决房屋归出资方子女所有，并综合考虑婚姻关系存续时间、共同生活情况等因素合理补偿对方——范某某与许某某离婚纠纷案</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【基本案情】</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2019年12月，许某某（男）父母全款购买案涉房屋。2020年5月，范某某与许某某登记结婚。2021年8月，许某某父母将案涉房屋转移登记至范某某、许某某双方名下。范某某与许某某婚后未生育子女。2024年，因家庭矛盾较大，范某某提起本案诉讼，请求判决其与许某某离婚，并平均分割案涉房屋。许某某辩称，同意离婚，但该房屋是其父母全款购买，范某某无权分割。诉讼中，双方均认可案涉房屋市场价值为30万元。</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【裁判结果】</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审理法院认为，范某某起诉离婚，许某某同意离婚，视为夫妻感情确已破裂，故依法准予离婚。关于案涉房屋的分割，虽然该房屋所有权已在双方婚姻关系存续期间转移登记至范某某和许某某双方名下，属于夫妻共同财产。但考虑到该房屋系许某某父母基于范某某与许某某长期共同生活的目的进行赠与，而范某某与许某某婚姻关系存续时间较短，且无婚生子女，为妥善平衡双方当事人利益，故结合赠与目的、出资来源等事实，判决案涉房屋归许某某所有，同时参考房屋市场价格，酌定许某某补偿范某某7万元。</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【典型意义】</w:t>
      </w:r>
      <w:r>
        <w:rPr>
          <w:rFonts w:hint="eastAsia" w:ascii="微软雅黑" w:hAnsi="微软雅黑" w:eastAsia="微软雅黑" w:cs="微软雅黑"/>
          <w:i w:val="0"/>
          <w:iCs w:val="0"/>
          <w:caps w:val="0"/>
          <w:color w:val="2F2F2F"/>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2F2F2F"/>
          <w:spacing w:val="0"/>
          <w:sz w:val="21"/>
          <w:szCs w:val="21"/>
          <w:bdr w:val="none" w:color="auto" w:sz="0" w:space="0"/>
          <w:shd w:val="clear" w:fill="FFFFFF"/>
        </w:rPr>
        <w:t>　　根据民法典第1087条规定，离婚时，夫妻的共同财产由双方协议处理；协议不成的，由人民法院根据财产的具体情况，按照照顾子女、女方和无过错方权益的原则判决。婚姻关系存续期间，由一方父母全额出资购置的房屋转移登记至夫妻双方名下，离婚分割夫妻共同财产时，可以根据该财产的出资来源情况，判决该房屋归出资方子女所有，但需综合考虑共同生活及孕育共同子女情况、离婚过错、离婚时房屋市场价格等因素，确定是否由获得房屋一方对另一方予以补偿以及补偿的具体数额。本案中，人民法院综合考虑婚姻关系存续时间较短、未孕育共同子女、房屋市场价格等因素，判决房屋归出资方子女所有，并酌定出资方子女补偿对方7万元，既保护了父母的合理预期和财产权益，也肯定和鼓励了对家庭的投入和付出，较好地平衡了双方利益。</w:t>
      </w:r>
    </w:p>
    <w:p w14:paraId="5505DC13">
      <w:pPr>
        <w:keepNext w:val="0"/>
        <w:keepLines w:val="0"/>
        <w:pageBreakBefore w:val="0"/>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2F2F2F"/>
          <w:spacing w:val="0"/>
          <w:sz w:val="21"/>
          <w:szCs w:val="21"/>
          <w:bdr w:val="none" w:color="auto" w:sz="0" w:space="0"/>
          <w:shd w:val="clear" w:fill="FFFFFF"/>
          <w:lang w:val="en-US" w:eastAsia="zh-CN"/>
        </w:rPr>
        <w:t xml:space="preserve"> </w:t>
      </w:r>
    </w:p>
    <w:p w14:paraId="197E73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i w:val="0"/>
          <w:iCs w:val="0"/>
          <w:caps w:val="0"/>
          <w:color w:val="2F2F2F"/>
          <w:spacing w:val="0"/>
          <w:sz w:val="30"/>
          <w:szCs w:val="30"/>
          <w:bdr w:val="none" w:color="auto" w:sz="0" w:space="0"/>
          <w:shd w:val="clear" w:fill="FFFFFF"/>
          <w:lang w:val="en-US" w:eastAsia="zh-CN"/>
        </w:rPr>
      </w:pPr>
      <w:r>
        <w:rPr>
          <w:rFonts w:hint="eastAsia" w:ascii="楷体" w:hAnsi="楷体" w:eastAsia="楷体" w:cs="楷体"/>
          <w:b/>
          <w:bCs/>
          <w:i w:val="0"/>
          <w:iCs w:val="0"/>
          <w:caps w:val="0"/>
          <w:color w:val="2F2F2F"/>
          <w:spacing w:val="0"/>
          <w:sz w:val="30"/>
          <w:szCs w:val="30"/>
          <w:bdr w:val="none" w:color="auto" w:sz="0" w:space="0"/>
          <w:shd w:val="clear" w:fill="FFFFFF"/>
          <w:lang w:val="en-US" w:eastAsia="zh-CN"/>
        </w:rPr>
        <w:t>就业与创业典型案例</w:t>
      </w:r>
    </w:p>
    <w:p w14:paraId="6DB85F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kern w:val="0"/>
          <w:sz w:val="21"/>
          <w:szCs w:val="21"/>
          <w:shd w:val="clear" w:fill="FFFFFF"/>
          <w:lang w:val="en-US" w:eastAsia="zh-CN" w:bidi="ar"/>
        </w:rPr>
        <w:t>案例一　</w:t>
      </w:r>
      <w:r>
        <w:rPr>
          <w:rStyle w:val="8"/>
          <w:rFonts w:hint="eastAsia" w:ascii="微软雅黑" w:hAnsi="微软雅黑" w:eastAsia="微软雅黑" w:cs="微软雅黑"/>
          <w:i w:val="0"/>
          <w:iCs w:val="0"/>
          <w:caps w:val="0"/>
          <w:color w:val="2F2F2F"/>
          <w:spacing w:val="0"/>
          <w:sz w:val="21"/>
          <w:szCs w:val="21"/>
          <w:shd w:val="clear" w:fill="FFFFFF"/>
        </w:rPr>
        <w:t>如何认定网约配送员与平台企业之间是否存在劳动关系？</w:t>
      </w:r>
    </w:p>
    <w:p w14:paraId="4584A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基本案情</w:t>
      </w:r>
    </w:p>
    <w:p w14:paraId="7C3EB9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徐某于2019年7月5日从某科技公司餐饮外卖平台众包骑手入口注册成为网约配送员，并在线订立了《网约配送协议》，协议载明：徐某同意按照平台发送的配送信息自主选择接受服务订单，接单后及时完成配送，服务费按照平台统一标准按单结算。从事餐饮外卖配送业务期间，公司未对徐某上线接单时间提出要求，徐某每周实际上线接单天数为3至6天不等，每天上线接单时长为2至5小时不等。平台按照算法规则向一定区域内不特定的多名配送员发送订单信息，徐某通过抢单获得配送机会，平台向其按单结算服务费。出现配送超时、客户差评等情形时，平台核实情况后按照统一标准扣减服务费。2020年1月4日，徐某向平台客服提出订立劳动合同、缴纳社会保险费等要求，被平台客服拒绝，遂向仲裁委员会申请仲裁。</w:t>
      </w:r>
    </w:p>
    <w:p w14:paraId="2E8BD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w:t>
      </w:r>
      <w:r>
        <w:rPr>
          <w:rStyle w:val="8"/>
          <w:rFonts w:hint="eastAsia" w:ascii="微软雅黑" w:hAnsi="微软雅黑" w:eastAsia="微软雅黑" w:cs="微软雅黑"/>
          <w:i w:val="0"/>
          <w:iCs w:val="0"/>
          <w:caps w:val="0"/>
          <w:color w:val="2F2F2F"/>
          <w:spacing w:val="0"/>
          <w:sz w:val="21"/>
          <w:szCs w:val="21"/>
          <w:shd w:val="clear" w:fill="FFFFFF"/>
        </w:rPr>
        <w:t>　申请人请求</w:t>
      </w:r>
      <w:r>
        <w:rPr>
          <w:rFonts w:hint="eastAsia" w:ascii="微软雅黑" w:hAnsi="微软雅黑" w:eastAsia="微软雅黑" w:cs="微软雅黑"/>
          <w:i w:val="0"/>
          <w:iCs w:val="0"/>
          <w:caps w:val="0"/>
          <w:color w:val="2F2F2F"/>
          <w:spacing w:val="0"/>
          <w:sz w:val="21"/>
          <w:szCs w:val="21"/>
          <w:shd w:val="clear" w:fill="FFFFFF"/>
        </w:rPr>
        <w:t>　　请求确认徐某与某科技公司于2019年7月5日至2020年1月4日期间存在劳动关系，某科技公司支付解除劳动合同经济补偿。</w:t>
      </w:r>
    </w:p>
    <w:p w14:paraId="1E7BD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处理结果</w:t>
      </w:r>
      <w:r>
        <w:rPr>
          <w:rFonts w:hint="eastAsia" w:ascii="微软雅黑" w:hAnsi="微软雅黑" w:eastAsia="微软雅黑" w:cs="微软雅黑"/>
          <w:i w:val="0"/>
          <w:iCs w:val="0"/>
          <w:caps w:val="0"/>
          <w:color w:val="2F2F2F"/>
          <w:spacing w:val="0"/>
          <w:sz w:val="21"/>
          <w:szCs w:val="21"/>
          <w:shd w:val="clear" w:fill="FFFFFF"/>
        </w:rPr>
        <w:t>　　仲裁委员会裁决：驳回徐某的仲裁请求。</w:t>
      </w:r>
    </w:p>
    <w:p w14:paraId="3EA8DE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案例分析</w:t>
      </w:r>
      <w:r>
        <w:rPr>
          <w:rFonts w:hint="eastAsia" w:ascii="微软雅黑" w:hAnsi="微软雅黑" w:eastAsia="微软雅黑" w:cs="微软雅黑"/>
          <w:i w:val="0"/>
          <w:iCs w:val="0"/>
          <w:caps w:val="0"/>
          <w:color w:val="2F2F2F"/>
          <w:spacing w:val="0"/>
          <w:sz w:val="21"/>
          <w:szCs w:val="21"/>
          <w:shd w:val="clear" w:fill="FFFFFF"/>
        </w:rPr>
        <w:t>　　本案争议焦点是，徐某与某科技公司之间是否符合确立劳动关系的情形？</w:t>
      </w:r>
    </w:p>
    <w:p w14:paraId="0E039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本案中，徐某在某科技公司餐饮外卖平台上注册成为网约配送员，其与某科技公司均具备建立劳动关系的主体资格。认定徐某与某科技公司之间是否符合确立劳动关系的情形，需要查明某科技公司是否对徐某进行了较强程度的劳动管理。从用工事实看，徐某须遵守某科技公司制定的餐饮外卖平台配送服务规则，其订单完成时间、客户评价等均作为平台结算服务费的依据，但平台对其上线接单时间、接单量均无要求，徐某能够完全自主决定工作时间及工作量，因此，双方之间人格从属性较标准劳动关系有所弱化。某科技公司掌握徐某从事网约配送业务所必需的数据信息，制定餐饮外卖平台配送服务费结算标准和办法，徐某通过平台获得收入，双方之间具有一定的经济从属性。虽然徐某依托平台从事餐饮外卖配送业务，但某科技公司并未将其纳入平台配送业务组织体系进行管理，未按照传统劳动管理方式要求其承担组织成员义务，因此，双方之间的组织从属性较弱。综上，虽然某科技公司通过平台对徐某进行一定的劳动管理，但其程度不足以认定劳动关系。因此，对徐某提出的确认劳动关系等仲裁请求，仲裁委员会不予支持。</w:t>
      </w:r>
    </w:p>
    <w:p w14:paraId="3EEC6A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典型意义</w:t>
      </w:r>
    </w:p>
    <w:p w14:paraId="2F180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在网约配送行业中，平台企业对网约配送员存在多种组织和管理模式。在类似本案的模式中，平台向非特定配送员发送订单信息，不对配送员的上线接单时间和接单量作任何要求，但与此同时，平台企业制定统一的配送服务规则和服务费结算标准，通过设定算法对配送员的配送行为进行控制和管理，并将配送时长、客户评价等作为结算服务费的依据。一方面，劳动者工作时间、工作地点更加自由，不再受限于特定的生产经营组织体系；另一方面，平台企业借助信息技术手段打破了传统用工方式的时空限制，对劳动者实现了更加精细的用工管理。在仲裁与司法实践中，应在区分各类情形的基础上分类保障劳动者合法权益，并积极推动完善相关法律政策，进一步畅通劳动者维权渠道，充分实现平台经济良性发展与劳动者权益保护互促共进。</w:t>
      </w:r>
    </w:p>
    <w:p w14:paraId="419327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w:t>
      </w:r>
      <w:r>
        <w:rPr>
          <w:rStyle w:val="8"/>
          <w:rFonts w:hint="eastAsia" w:ascii="微软雅黑" w:hAnsi="微软雅黑" w:eastAsia="微软雅黑" w:cs="微软雅黑"/>
          <w:i w:val="0"/>
          <w:iCs w:val="0"/>
          <w:caps w:val="0"/>
          <w:color w:val="2F2F2F"/>
          <w:spacing w:val="0"/>
          <w:sz w:val="21"/>
          <w:szCs w:val="21"/>
          <w:shd w:val="clear" w:fill="FFFFFF"/>
          <w:lang w:val="en-US" w:eastAsia="zh-CN"/>
        </w:rPr>
        <w:t>案例二：</w:t>
      </w:r>
      <w:r>
        <w:rPr>
          <w:rStyle w:val="8"/>
          <w:rFonts w:hint="eastAsia" w:ascii="微软雅黑" w:hAnsi="微软雅黑" w:eastAsia="微软雅黑" w:cs="微软雅黑"/>
          <w:i w:val="0"/>
          <w:iCs w:val="0"/>
          <w:caps w:val="0"/>
          <w:color w:val="2F2F2F"/>
          <w:spacing w:val="0"/>
          <w:sz w:val="21"/>
          <w:szCs w:val="21"/>
          <w:shd w:val="clear" w:fill="FFFFFF"/>
        </w:rPr>
        <w:t>外卖平台用工合作企业通过劳务公司招用网约配送员，如何认定劳动关系?</w:t>
      </w:r>
    </w:p>
    <w:p w14:paraId="79845A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基本案情</w:t>
      </w:r>
    </w:p>
    <w:p w14:paraId="15BFCD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某货运代理公司承包经营某外卖平台配送站点，负责该站点网约配送业务。2019年5月27日，某货运代理公司与某劳务公司订立《配送业务承包协议》，约定由某劳务公司负责站点的配送员招募和管理工作。何某于2019年7月28日进入某外卖平台站点工作，并与某劳务公司订立了为期1年的《外卖配送服务协议》，约定：何某同意在某外卖平台注册为网约配送员，并进入某货运代理公司承包的配送站点从事配送业务；何某须遵守某货运代理公司制定的站点工作制度，每周经提前申请可休息1天，每天至少在线接单8小时；何某与某劳务公司之间为劳务合作关系，某劳务公司根据订单完成量向何某按月结算劳务报酬。从事配送工作期间，何某按照某货运代理公司制定的《配送员管理规则》，每天8:30到站点开早会，每周工作6至7天，每天在线接单时长为8至11小时不等。何某请假时，均须通过站长向某货运代理公司提出申请。某货运代理公司按照何某订单完成量向何某按月支付服务费，出现高峰时段不服从平台调配、无故拒接平台派单、超时配送、客户差评等情形时，某货运代理公司均按一定比例扣减服务费，而某劳务公司未对包含何某在内的站点配送员进行管理。2019年11月3日，何某在执行配送任务途中摔倒受伤，其要求某货运代理公司、某劳务公司按照工伤保险待遇标准向其赔偿各项治疗费用，某货运代理公司以未与何某订立任何协议为由拒绝承担责任，某劳务公司以与何某之间系劳务合作关系为由拒绝支付工伤保险待遇。2019年12月19日，何某以某货运代理公司、某劳务公司为共同被申请人向仲裁委员会申请仲裁。</w:t>
      </w:r>
    </w:p>
    <w:p w14:paraId="33D98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申请人请求</w:t>
      </w:r>
    </w:p>
    <w:p w14:paraId="277088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请求确认何某与某货运代理公司、某劳务公司于2019年7月28日至2019年12月19日期间存在劳动关系。</w:t>
      </w:r>
    </w:p>
    <w:p w14:paraId="294159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textAlignment w:val="auto"/>
        <w:rPr>
          <w:rStyle w:val="8"/>
          <w:rFonts w:hint="eastAsia" w:ascii="微软雅黑" w:hAnsi="微软雅黑" w:eastAsia="微软雅黑" w:cs="微软雅黑"/>
          <w:i w:val="0"/>
          <w:iCs w:val="0"/>
          <w:caps w:val="0"/>
          <w:color w:val="2F2F2F"/>
          <w:spacing w:val="0"/>
          <w:sz w:val="21"/>
          <w:szCs w:val="21"/>
          <w:shd w:val="clear" w:fill="FFFFFF"/>
          <w:lang w:val="en-US" w:eastAsia="zh-CN"/>
        </w:rPr>
      </w:pPr>
      <w:r>
        <w:rPr>
          <w:rStyle w:val="8"/>
          <w:rFonts w:hint="eastAsia" w:ascii="微软雅黑" w:hAnsi="微软雅黑" w:eastAsia="微软雅黑" w:cs="微软雅黑"/>
          <w:i w:val="0"/>
          <w:iCs w:val="0"/>
          <w:caps w:val="0"/>
          <w:color w:val="2F2F2F"/>
          <w:spacing w:val="0"/>
          <w:sz w:val="21"/>
          <w:szCs w:val="21"/>
          <w:shd w:val="clear" w:fill="FFFFFF"/>
        </w:rPr>
        <w:t>处理结果</w:t>
      </w:r>
      <w:r>
        <w:rPr>
          <w:rStyle w:val="8"/>
          <w:rFonts w:hint="eastAsia" w:ascii="微软雅黑" w:hAnsi="微软雅黑" w:eastAsia="微软雅黑" w:cs="微软雅黑"/>
          <w:i w:val="0"/>
          <w:iCs w:val="0"/>
          <w:caps w:val="0"/>
          <w:color w:val="2F2F2F"/>
          <w:spacing w:val="0"/>
          <w:sz w:val="21"/>
          <w:szCs w:val="21"/>
          <w:shd w:val="clear" w:fill="FFFFFF"/>
          <w:lang w:val="en-US" w:eastAsia="zh-CN"/>
        </w:rPr>
        <w:t xml:space="preserve"> </w:t>
      </w:r>
    </w:p>
    <w:p w14:paraId="40943A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仲裁委员会裁决：何某与某货运代理公司于2019年7月28日至2019年12月19日期间存在劳动关系。</w:t>
      </w:r>
    </w:p>
    <w:p w14:paraId="54D59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案例分析</w:t>
      </w:r>
      <w:r>
        <w:rPr>
          <w:rStyle w:val="8"/>
          <w:rFonts w:hint="eastAsia" w:ascii="微软雅黑" w:hAnsi="微软雅黑" w:eastAsia="微软雅黑" w:cs="微软雅黑"/>
          <w:i w:val="0"/>
          <w:iCs w:val="0"/>
          <w:caps w:val="0"/>
          <w:color w:val="2F2F2F"/>
          <w:spacing w:val="0"/>
          <w:sz w:val="21"/>
          <w:szCs w:val="21"/>
          <w:shd w:val="clear" w:fill="FFFFFF"/>
          <w:lang w:val="en-US" w:eastAsia="zh-CN"/>
        </w:rPr>
        <w:t xml:space="preserve"> </w:t>
      </w:r>
      <w:r>
        <w:rPr>
          <w:rFonts w:hint="eastAsia" w:ascii="微软雅黑" w:hAnsi="微软雅黑" w:eastAsia="微软雅黑" w:cs="微软雅黑"/>
          <w:i w:val="0"/>
          <w:iCs w:val="0"/>
          <w:caps w:val="0"/>
          <w:color w:val="2F2F2F"/>
          <w:spacing w:val="0"/>
          <w:sz w:val="21"/>
          <w:szCs w:val="21"/>
          <w:shd w:val="clear" w:fill="FFFFFF"/>
        </w:rPr>
        <w:t>　　本案争议焦点是，何某是否与两家公司存在劳动关系？与哪家公司存在劳动关系？</w:t>
      </w:r>
    </w:p>
    <w:p w14:paraId="4067BD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本案中，从某货运代理公司与某劳务公司订立的《配送业务承包协议》内容看，某货运代理公司将配送员招募和管理工作外包给某劳务公司，应当由某劳务公司负责具体的用工组织和管理工作。但从本案用工事实看，某劳务公司并未对何某等站点配送员进行管理，其与某货运代理公司之间的《配送业务承包协议》并未实际履行；某货运代理公司虽然未与何某订立书面协议，却对其进行了劳动管理。因此，应当根据某货运代理公司对何某的劳动管理程度，认定双方之间是否存在劳动关系。何某须遵守某货运代理公司制定的《配送员管理规则》，按时到站点考勤；某货运代理公司对何某执行配送任务的情况进行监督，通过扣减服务费等方式对何某的工作时间、接单行为、服务质量等进行管理，双方之间存在较强的人格从属性。某货运代理公司根据单方制定的服务费结算办法向何某按月结算服务费，双方之间存在明显的经济从属性。何某虽以平台名义从事配送任务，但某货运代理公司将其纳入站点的配送组织体系进行管理，双方之间存在较强的组织从属性。综上，某货运代理公司对何某进行了较强程度的劳动管理，应当认定双方之间存在劳动关系。</w:t>
      </w:r>
    </w:p>
    <w:p w14:paraId="321E1C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w:t>
      </w:r>
      <w:r>
        <w:rPr>
          <w:rStyle w:val="8"/>
          <w:rFonts w:hint="eastAsia" w:ascii="微软雅黑" w:hAnsi="微软雅黑" w:eastAsia="微软雅黑" w:cs="微软雅黑"/>
          <w:i w:val="0"/>
          <w:iCs w:val="0"/>
          <w:caps w:val="0"/>
          <w:color w:val="2F2F2F"/>
          <w:spacing w:val="0"/>
          <w:sz w:val="21"/>
          <w:szCs w:val="21"/>
          <w:shd w:val="clear" w:fill="FFFFFF"/>
          <w:lang w:val="en-US" w:eastAsia="zh-CN"/>
        </w:rPr>
        <w:t>案例三、</w:t>
      </w:r>
      <w:r>
        <w:rPr>
          <w:rStyle w:val="8"/>
          <w:rFonts w:hint="eastAsia" w:ascii="微软雅黑" w:hAnsi="微软雅黑" w:eastAsia="微软雅黑" w:cs="微软雅黑"/>
          <w:i w:val="0"/>
          <w:iCs w:val="0"/>
          <w:caps w:val="0"/>
          <w:color w:val="2F2F2F"/>
          <w:spacing w:val="0"/>
          <w:sz w:val="21"/>
          <w:szCs w:val="21"/>
          <w:shd w:val="clear" w:fill="FFFFFF"/>
        </w:rPr>
        <w:t>如何认定网络主播与文化传播公司之间是否存在劳动关系？</w:t>
      </w:r>
    </w:p>
    <w:p w14:paraId="3A82B3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基本案情</w:t>
      </w:r>
    </w:p>
    <w:p w14:paraId="3DFCB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李某于2018年11月29日与某文化传播公司订立为期2年的《艺人独家合作协议》，约定：李某聘请某文化传播公司为其经纪人，某文化传播公司为李某提供网络主播培训及推广宣传，将其培养成为知名的网络主播；在合同期内，某文化传播公司为李某提供整套直播设备和直播室，负责安排李某的全部直播工作及直播之外的商业或非商业公众活动，全权代理李某涉及到直播、出版、演出、广告、录音、录像等与演艺有关的商业或非商业公众活动，可在征得李某同意后作为其委托代理人签署有关合同；李某有权参与某文化传播公司安排的商业活动的策划过程、了解直播收支情况，并对个人形象定位等事项提出建议，但一经双方协商一致，李某必须严格遵守相关约定；李某直播内容和时间均由其自行确定，其每月获得各直播平台后台礼物累计价值5000元，可得基本收入2600元，超过5000元部分由公司和李某进行四六分成，超过9000元部分进行三七分成，超过12000元部分进行二八分成。从事直播活动后，李某按照某文化传播公司要求入驻2家直播平台，双方均严格履行协议约定的权利义务。李某每天直播时长、每月直播天数均不固定，月收入均未超过3500元。2019年3月31日，李某因直播收入较低，单方解除《艺人独家合作协议》，并以公司未缴纳社会保险费为由要求某文化传播公司向其支付解除劳动合同经济补偿。某文化传播公司以双方之间不存在劳动关系为由拒绝支付。李某向仲裁委员会申请仲裁，仲裁委员会裁决双方之间不存在劳动关系。李某不服仲裁裁决，诉至人民法院。</w:t>
      </w:r>
    </w:p>
    <w:p w14:paraId="58100E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原告诉讼请求</w:t>
      </w:r>
    </w:p>
    <w:p w14:paraId="63B90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请求确认与某文化传播公司之间于2018年11月29日至2019年3月31日期间存在劳动关系，某文化传播公司支付解除劳动合同经济补偿。</w:t>
      </w:r>
    </w:p>
    <w:p w14:paraId="7EA23F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处理结果</w:t>
      </w:r>
    </w:p>
    <w:p w14:paraId="1BCDE1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一审法院判决：李某与某文化传播公司之间不存在劳动关系。李某不服一审判决，提起上诉。二审法院判决：驳回上诉，维持原判。</w:t>
      </w:r>
    </w:p>
    <w:p w14:paraId="3FF2D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案例分析</w:t>
      </w:r>
      <w:r>
        <w:rPr>
          <w:rStyle w:val="8"/>
          <w:rFonts w:hint="eastAsia" w:ascii="微软雅黑" w:hAnsi="微软雅黑" w:eastAsia="微软雅黑" w:cs="微软雅黑"/>
          <w:i w:val="0"/>
          <w:iCs w:val="0"/>
          <w:caps w:val="0"/>
          <w:color w:val="2F2F2F"/>
          <w:spacing w:val="0"/>
          <w:sz w:val="21"/>
          <w:szCs w:val="21"/>
          <w:shd w:val="clear" w:fill="FFFFFF"/>
          <w:lang w:val="en-US" w:eastAsia="zh-CN"/>
        </w:rPr>
        <w:t xml:space="preserve"> </w:t>
      </w:r>
      <w:r>
        <w:rPr>
          <w:rFonts w:hint="eastAsia" w:ascii="微软雅黑" w:hAnsi="微软雅黑" w:eastAsia="微软雅黑" w:cs="微软雅黑"/>
          <w:i w:val="0"/>
          <w:iCs w:val="0"/>
          <w:caps w:val="0"/>
          <w:color w:val="2F2F2F"/>
          <w:spacing w:val="0"/>
          <w:sz w:val="21"/>
          <w:szCs w:val="21"/>
          <w:shd w:val="clear" w:fill="FFFFFF"/>
        </w:rPr>
        <w:t>　　本案争议焦点是，某文化传播公司对李某的管理是否属于劳动管理？</w:t>
      </w:r>
    </w:p>
    <w:p w14:paraId="6AB038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在传统演艺领域，企业以经纪人身份与艺人订立的合同通常兼具委托合同、中介合同、行纪合同等性质，并因合同约定产生企业对艺人的“管理”行为，但此类管理与劳动管理存在明显差异：从“管理”的主要目的看，企业除安排艺人从事演艺活动为其创造经济收益之外，还要对艺人进行培训、包装、宣传、推广等，使之获得相对独立的公众知名度和市场价值；而在劳动关系中，企业通过劳动管理组织劳动者进行生产经营活动，并不以提升劳动者独立的公众知名度和市场价值为目的。从“管理”事项的确定看，企业对艺人的管理内容和程度通常由双方自主协商约定，艺人还可以就自身形象设计、发展规划和收益分红等事项与企业进行协商；而在订立劳动合同时，单个劳动者与企业之间进行个性化协商的空间一般比较有限，劳动纪律、报酬标准、奖惩办法等规章制度通常由企业统一制定并普遍适用于企业内部的劳动者。此外，从劳动成果分配方式看，企业作为经纪人，一般以约定的分成方式获取艺人创造的经济收益；而在劳动关系中，企业直接占有劳动者的劳动成果，按照统一标准向劳动者支付报酬及福利，不以约定分成作为主要分配方式。综上，企业作为经纪人与艺人之间的法律关系体现出平等协商的特点，而存在劳动关系的用人单位与劳动者之间则体现出较强的从属性特征，可据此对两种法律关系予以区分。</w:t>
      </w:r>
    </w:p>
    <w:p w14:paraId="05634A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本案中，通过《艺人独家合作协议》内容及履行情况可以看出，某文化传播公司作为李某的经纪人，虽然也安排李某从事为其创造直接经济收益的直播活动，但其主要目的是通过培训、包装、宣传、推广等手段使李某成为知名的网络主播；李某的直播时间及内容由其自主决定，其他相关活动要求等由双方协商确定，李某对其个人包装、活动参与等事项有协商权，对其创造的经济收益有知情权；双方以李某创造的经济收益为衡量标准，约定了“阶梯式”的收益分成方式。因此，双方之间的法律关系体现出平等协商的特点，并未体现出《关于确立劳动关系有关事项的通知》（劳社部发〔2005〕12号）规定的劳动管理及从属性特征，应当认定为民事关系。李某提出确认劳动关系并支付解除劳动合同经济补偿的诉求，与事实不符，不予支持。</w:t>
      </w:r>
    </w:p>
    <w:p w14:paraId="68A4B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Style w:val="8"/>
          <w:rFonts w:hint="eastAsia" w:ascii="微软雅黑" w:hAnsi="微软雅黑" w:eastAsia="微软雅黑" w:cs="微软雅黑"/>
          <w:i w:val="0"/>
          <w:iCs w:val="0"/>
          <w:caps w:val="0"/>
          <w:color w:val="2F2F2F"/>
          <w:spacing w:val="0"/>
          <w:sz w:val="21"/>
          <w:szCs w:val="21"/>
          <w:shd w:val="clear" w:fill="FFFFFF"/>
        </w:rPr>
        <w:t>　　典型意义</w:t>
      </w:r>
    </w:p>
    <w:p w14:paraId="6BC76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textAlignment w:val="auto"/>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2F2F2F"/>
          <w:spacing w:val="0"/>
          <w:sz w:val="21"/>
          <w:szCs w:val="21"/>
          <w:shd w:val="clear" w:fill="FFFFFF"/>
        </w:rPr>
        <w:t>　　与传统演艺业相比，网络主播行业具有更强的灵活性、互动性、可及性和价值多元性，经纪公司“造星”周期和“投资-回报”周期也相应缩短。一些经纪公司沿袭传统方式与主播建立民事合作关系，以培养知名主播、组织主播参加各类商业或非商业公众活动为主业，通过平等协商确定双方权利义务，以约定的分成方式进行收益分配；但与此同时，一些企业招用网络主播的主要目的是开展“直播带货”业务，以网络直播手段推销各类产品，主播对个人包装、直播内容、演艺方式、收益分配等没有协商权，双方之间体现出较强的从属性特征，更加符合确立劳动关系的情形。</w:t>
      </w:r>
    </w:p>
    <w:p w14:paraId="31168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kern w:val="0"/>
          <w:sz w:val="21"/>
          <w:szCs w:val="21"/>
          <w:shd w:val="clear" w:fill="FFFFFF"/>
          <w:lang w:val="en-US" w:eastAsia="zh-CN" w:bidi="ar"/>
        </w:rPr>
        <w:t>案例四</w:t>
      </w:r>
      <w:r>
        <w:rPr>
          <w:rStyle w:val="8"/>
          <w:rFonts w:hint="eastAsia" w:ascii="微软雅黑" w:hAnsi="微软雅黑" w:eastAsia="微软雅黑" w:cs="微软雅黑"/>
          <w:i w:val="0"/>
          <w:iCs w:val="0"/>
          <w:caps w:val="0"/>
          <w:color w:val="2F2F2F"/>
          <w:spacing w:val="0"/>
          <w:sz w:val="21"/>
          <w:szCs w:val="21"/>
          <w:shd w:val="clear" w:fill="FFFFFF"/>
        </w:rPr>
        <w:t>“轻抖”不正当竞争纠纷案——组织刷量、制造虚假流量的虚假宣传行为的认定</w:t>
      </w:r>
    </w:p>
    <w:p w14:paraId="51DFC4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Fonts w:hint="eastAsia" w:ascii="微软雅黑" w:hAnsi="微软雅黑" w:eastAsia="微软雅黑" w:cs="微软雅黑"/>
          <w:i w:val="0"/>
          <w:iCs w:val="0"/>
          <w:caps w:val="0"/>
          <w:color w:val="2F2F2F"/>
          <w:spacing w:val="0"/>
          <w:sz w:val="21"/>
          <w:szCs w:val="21"/>
          <w:shd w:val="clear" w:fill="FFFFFF"/>
        </w:rPr>
        <w:t>　　</w:t>
      </w:r>
      <w:r>
        <w:rPr>
          <w:rStyle w:val="8"/>
          <w:rFonts w:hint="eastAsia" w:ascii="微软雅黑" w:hAnsi="微软雅黑" w:eastAsia="微软雅黑" w:cs="微软雅黑"/>
          <w:i w:val="0"/>
          <w:iCs w:val="0"/>
          <w:caps w:val="0"/>
          <w:color w:val="2F2F2F"/>
          <w:spacing w:val="0"/>
          <w:sz w:val="21"/>
          <w:szCs w:val="21"/>
          <w:shd w:val="clear" w:fill="FFFFFF"/>
        </w:rPr>
        <w:t>　　【基本案情】</w:t>
      </w:r>
      <w:r>
        <w:rPr>
          <w:rFonts w:hint="eastAsia" w:ascii="微软雅黑" w:hAnsi="微软雅黑" w:eastAsia="微软雅黑" w:cs="微软雅黑"/>
          <w:i w:val="0"/>
          <w:iCs w:val="0"/>
          <w:caps w:val="0"/>
          <w:color w:val="2F2F2F"/>
          <w:spacing w:val="0"/>
          <w:sz w:val="21"/>
          <w:szCs w:val="21"/>
          <w:shd w:val="clear" w:fill="FFFFFF"/>
        </w:rPr>
        <w:t>抖某平台系北京微某视界科技有限公司（以下简称北京微某公司）运营的短视频分享平台，根据用户需求推送视频，其算法推荐机制系基于视频完播率、评论数、点赞数、分享数、直播间人气、用户粉丝数等若干指标设计的算法程序，依赖于用户对视频、直播等的真实反馈从而实现智能推送。杭州大某网络科技有限公司（以下简称杭州大某公司）设计、开发、运营针对抖某平台的“轻抖”产品（包括官网、APP和小程序等形式），对增加粉丝量、播放量等数据有需求的用户在“轻抖”产品上有偿发布“任务”，吸引其他用户在抖某平台上完成关注、观看视频等任务后赚得赏金。爱某马（杭州）网络科技有限公司（以下简称爱某马公司）系“轻抖”产品的收款方。北京微某公司以二被告组织运营“轻抖”系列服务产品的行为构成不正当竞争为由，诉至法院，请求判令二被告停止侵权、消除影响并共同承担450万元的赔偿。</w:t>
      </w:r>
    </w:p>
    <w:p w14:paraId="1357E9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Fonts w:hint="eastAsia" w:ascii="微软雅黑" w:hAnsi="微软雅黑" w:eastAsia="微软雅黑" w:cs="微软雅黑"/>
          <w:i w:val="0"/>
          <w:iCs w:val="0"/>
          <w:caps w:val="0"/>
          <w:color w:val="2F2F2F"/>
          <w:spacing w:val="0"/>
          <w:sz w:val="21"/>
          <w:szCs w:val="21"/>
          <w:shd w:val="clear" w:fill="FFFFFF"/>
        </w:rPr>
        <w:t>　　一审法院经审理认为，北京微某公司对以视频播放量、直播间人气及抖某平台用户粉丝数为代表的数据整体享有竞争法上的合法权益，其就抖某平台的运营及开发利用该数据资源能够为其带来的商业价值及竞争利益应获得保护。被诉行为通过运营交易平台，帮助、指引流量需求方发布需求任务，“接任务”用户伪装成正常用户完成刷量任务，人工制造虚假点击量和关注数量，干扰了平台流量分配机制，属于反不正当竞争法第八条第二款规制的不正当竞争行为。遂判令二被告停止侵权、消除影响并共同承担400万元的赔偿责任。一审宣判后，二被告不服提起上诉，杭州市中级人民法院二审判决驳回上诉，维持原判。</w:t>
      </w:r>
    </w:p>
    <w:p w14:paraId="6DBDA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sz w:val="21"/>
          <w:szCs w:val="21"/>
          <w:shd w:val="clear" w:fill="FFFFFF"/>
        </w:rPr>
        <w:t>　　【典型意义】</w:t>
      </w:r>
      <w:r>
        <w:rPr>
          <w:rFonts w:hint="eastAsia" w:ascii="微软雅黑" w:hAnsi="微软雅黑" w:eastAsia="微软雅黑" w:cs="微软雅黑"/>
          <w:i w:val="0"/>
          <w:iCs w:val="0"/>
          <w:caps w:val="0"/>
          <w:color w:val="2F2F2F"/>
          <w:spacing w:val="0"/>
          <w:sz w:val="21"/>
          <w:szCs w:val="21"/>
          <w:shd w:val="clear" w:fill="FFFFFF"/>
        </w:rPr>
        <w:t>本案为打击“刷粉刷量”等网络黑灰产业的典型案例。人民法院准确运用反不正当竞争法关于制止虚假宣传行为的法律规定，及时、有效规制为平台主播组织“刷粉刷量”、不当获取流量的虚假宣传不正当竞争行为，对于引导、促进平台主播诚信经营，保障健康直播业态，营造公平竞争、规范有序的市场环境，发挥了积极作用。</w:t>
      </w:r>
    </w:p>
    <w:p w14:paraId="41970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kern w:val="0"/>
          <w:sz w:val="21"/>
          <w:szCs w:val="21"/>
          <w:shd w:val="clear" w:fill="FFFFFF"/>
          <w:lang w:val="en-US" w:eastAsia="zh-CN" w:bidi="ar"/>
        </w:rPr>
        <w:t>案例三</w:t>
      </w:r>
      <w:r>
        <w:rPr>
          <w:rStyle w:val="8"/>
          <w:rFonts w:hint="eastAsia" w:ascii="微软雅黑" w:hAnsi="微软雅黑" w:eastAsia="微软雅黑" w:cs="微软雅黑"/>
          <w:i w:val="0"/>
          <w:iCs w:val="0"/>
          <w:caps w:val="0"/>
          <w:color w:val="2F2F2F"/>
          <w:spacing w:val="0"/>
          <w:sz w:val="21"/>
          <w:szCs w:val="21"/>
          <w:shd w:val="clear" w:fill="FFFFFF"/>
        </w:rPr>
        <w:t>“施耐德”仿冒混淆纠纷案——对侵权获利巨大的恶意侵权行为赔偿数额的确定</w:t>
      </w:r>
    </w:p>
    <w:p w14:paraId="254767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Fonts w:hint="eastAsia" w:ascii="微软雅黑" w:hAnsi="微软雅黑" w:eastAsia="微软雅黑" w:cs="微软雅黑"/>
          <w:i w:val="0"/>
          <w:iCs w:val="0"/>
          <w:caps w:val="0"/>
          <w:color w:val="2F2F2F"/>
          <w:spacing w:val="0"/>
          <w:sz w:val="21"/>
          <w:szCs w:val="21"/>
          <w:shd w:val="clear" w:fill="FFFFFF"/>
        </w:rPr>
        <w:t>　</w:t>
      </w:r>
      <w:r>
        <w:rPr>
          <w:rStyle w:val="8"/>
          <w:rFonts w:hint="eastAsia" w:ascii="微软雅黑" w:hAnsi="微软雅黑" w:eastAsia="微软雅黑" w:cs="微软雅黑"/>
          <w:i w:val="0"/>
          <w:iCs w:val="0"/>
          <w:caps w:val="0"/>
          <w:color w:val="2F2F2F"/>
          <w:spacing w:val="0"/>
          <w:sz w:val="21"/>
          <w:szCs w:val="21"/>
          <w:shd w:val="clear" w:fill="FFFFFF"/>
        </w:rPr>
        <w:t>　　【基本案情】</w:t>
      </w:r>
      <w:r>
        <w:rPr>
          <w:rFonts w:hint="eastAsia" w:ascii="微软雅黑" w:hAnsi="微软雅黑" w:eastAsia="微软雅黑" w:cs="微软雅黑"/>
          <w:i w:val="0"/>
          <w:iCs w:val="0"/>
          <w:caps w:val="0"/>
          <w:color w:val="2F2F2F"/>
          <w:spacing w:val="0"/>
          <w:sz w:val="21"/>
          <w:szCs w:val="21"/>
          <w:shd w:val="clear" w:fill="FFFFFF"/>
        </w:rPr>
        <w:t>施某德电气欧洲公司（以下简称施某德欧洲公司）将核定使用在第9类断路器、电开关等商品上的“”“施耐德”注册商标许可给其投资的施某德电气（中国）有限公司（以下简称施某德中国公司）使用。施某德中国公司在全国各地投资有多个电气生产企业，且多以“施耐德”作为企业字号。“”“施耐德”等系列商标在电气行业和市场上具有较高的市场知名度。施某德中国公司认为，苏州施某德电梯有限公司（以下简称苏州施某德公司）突出使用“施耐德”“SCHNEiDER”标识的行为构成商标侵权，登记含有“施耐德”字号的企业名称，并使用与“”商标核心要素“Schneider electric”近似域名的行为构成不正当竞争，遂诉至法院，请求判令苏州施某德公司停止侵权、变更企业名称、赔偿损失、消除影响。苏州施某德公司辩称，被诉标识的使用经境外公司授权，不存在攀附涉案商标商誉的主观过错。一审法院经审理认为，被诉行为构成商标侵权及不正当竞争，判决苏州施某德公司立即停止被诉行为；办理企业名称变更手续；赔偿损失4000万元及合理开支15万元；刊登声明，消除影响。江苏省高级人民法院二审认为，苏州施某德公司明知涉案商标及涉案字号的知名度，通过与境外公司签订品牌使用协议以获取与涉案商标近似标识的授权，目的在于攀附涉案商标的商誉，一审判决对商标侵权及不正当竞争行为的认定正确。综合考虑涉案商标的知名度及市场价值、苏州施某德公司的主观恶意、侵权行为的时间及规模等因素，一审判决确定的4000万元赔偿数额，并无不当。江苏省高级人民法院二审判决驳回上诉，维持原判。</w:t>
      </w:r>
    </w:p>
    <w:p w14:paraId="743D88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sz w:val="21"/>
          <w:szCs w:val="21"/>
          <w:shd w:val="clear" w:fill="FFFFFF"/>
        </w:rPr>
        <w:t>　　【典型意义】</w:t>
      </w:r>
      <w:r>
        <w:rPr>
          <w:rFonts w:hint="eastAsia" w:ascii="微软雅黑" w:hAnsi="微软雅黑" w:eastAsia="微软雅黑" w:cs="微软雅黑"/>
          <w:i w:val="0"/>
          <w:iCs w:val="0"/>
          <w:caps w:val="0"/>
          <w:color w:val="2F2F2F"/>
          <w:spacing w:val="0"/>
          <w:sz w:val="21"/>
          <w:szCs w:val="21"/>
          <w:shd w:val="clear" w:fill="FFFFFF"/>
        </w:rPr>
        <w:t>本案为严厉惩治“搭便车”等仿冒混淆行为的典型案例。在有充分证据证实侵权获利超出法定赔偿最高限额的情况下，人民法院合理分配举证责任，正确适用裁量性赔偿方式酌情确定赔偿数额，有力打击攀附他人商誉的市场混淆行为，显著提高侵权成本，充分体现切实加大知识产权保护力度的鲜明司法导向。</w:t>
      </w:r>
    </w:p>
    <w:p w14:paraId="7E8C79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kern w:val="0"/>
          <w:sz w:val="21"/>
          <w:szCs w:val="21"/>
          <w:shd w:val="clear" w:fill="FFFFFF"/>
          <w:lang w:val="en-US" w:eastAsia="zh-CN" w:bidi="ar"/>
        </w:rPr>
        <w:t xml:space="preserve">案例四  </w:t>
      </w:r>
      <w:r>
        <w:rPr>
          <w:rStyle w:val="8"/>
          <w:rFonts w:hint="eastAsia" w:ascii="微软雅黑" w:hAnsi="微软雅黑" w:eastAsia="微软雅黑" w:cs="微软雅黑"/>
          <w:i w:val="0"/>
          <w:iCs w:val="0"/>
          <w:caps w:val="0"/>
          <w:color w:val="2F2F2F"/>
          <w:spacing w:val="0"/>
          <w:sz w:val="21"/>
          <w:szCs w:val="21"/>
          <w:shd w:val="clear" w:fill="FFFFFF"/>
        </w:rPr>
        <w:t>企业征信数据平台不正当竞争纠纷案——数据使用者不正当竞争行为的认定</w:t>
      </w:r>
    </w:p>
    <w:p w14:paraId="1287D5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Fonts w:hint="eastAsia" w:ascii="微软雅黑" w:hAnsi="微软雅黑" w:eastAsia="微软雅黑" w:cs="微软雅黑"/>
          <w:i w:val="0"/>
          <w:iCs w:val="0"/>
          <w:caps w:val="0"/>
          <w:color w:val="2F2F2F"/>
          <w:spacing w:val="0"/>
          <w:sz w:val="21"/>
          <w:szCs w:val="21"/>
          <w:shd w:val="clear" w:fill="FFFFFF"/>
        </w:rPr>
        <w:t>　　【案号】广东省深圳市中级人民法院（2023）粤03民终4897号[深圳市长某顺企业管理咨询有限公司与北京天某查科技有限公司、北京金某科技有限公司不正当竞争纠纷案]</w:t>
      </w:r>
    </w:p>
    <w:p w14:paraId="685D7E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Style w:val="8"/>
          <w:rFonts w:hint="eastAsia" w:ascii="微软雅黑" w:hAnsi="微软雅黑" w:eastAsia="微软雅黑" w:cs="微软雅黑"/>
          <w:i w:val="0"/>
          <w:iCs w:val="0"/>
          <w:caps w:val="0"/>
          <w:color w:val="2F2F2F"/>
          <w:spacing w:val="0"/>
          <w:sz w:val="21"/>
          <w:szCs w:val="21"/>
          <w:shd w:val="clear" w:fill="FFFFFF"/>
        </w:rPr>
        <w:t>　　【基本案情】</w:t>
      </w:r>
      <w:r>
        <w:rPr>
          <w:rFonts w:hint="eastAsia" w:ascii="微软雅黑" w:hAnsi="微软雅黑" w:eastAsia="微软雅黑" w:cs="微软雅黑"/>
          <w:i w:val="0"/>
          <w:iCs w:val="0"/>
          <w:caps w:val="0"/>
          <w:color w:val="2F2F2F"/>
          <w:spacing w:val="0"/>
          <w:sz w:val="21"/>
          <w:szCs w:val="21"/>
          <w:shd w:val="clear" w:fill="FFFFFF"/>
        </w:rPr>
        <w:t>深圳市长某顺企业管理咨询有限公司（以下简称长某顺公司）指控北京金某科技有限公司（以下简称金某公司）、北京天某查科技有限公司（以下简称天某查公司）以下行为构成不正当竞争：1.在“天某查”网站发布的数据中未包含其在深圳联合产权交易所登记的股权信息；2.在“天某查”网站发布的长某顺公司与深圳奥某德集团股份有限公司（以下简称奥某德公司）之间的持股关系与实际情况不符；3.在收到长某顺公司的律师函及附件后，未对“天某查”网站中的数据进行修正。长某顺公司据此请求判决二被告将其列入奥某德公司股东列表、消除影响并赔偿其维权开支。</w:t>
      </w:r>
    </w:p>
    <w:p w14:paraId="584DF4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pPr>
      <w:r>
        <w:rPr>
          <w:rFonts w:hint="eastAsia" w:ascii="微软雅黑" w:hAnsi="微软雅黑" w:eastAsia="微软雅黑" w:cs="微软雅黑"/>
          <w:i w:val="0"/>
          <w:iCs w:val="0"/>
          <w:caps w:val="0"/>
          <w:color w:val="2F2F2F"/>
          <w:spacing w:val="0"/>
          <w:sz w:val="21"/>
          <w:szCs w:val="21"/>
          <w:shd w:val="clear" w:fill="FFFFFF"/>
        </w:rPr>
        <w:t>　　深圳市中级人民法院经审理认为，本案所涉原始数据为长某顺公司的对外持股信息，企业对外投资、历史变更情况等直接关系其市场竞争地位。长某顺公司作为金某公司、天某查公司运营的征信数据系统中的数据原始主体，对于该征信数据系统公布的长某顺公司的对外持股信息，具有竞争法意义上的竞争权益。金某公司、天某查公司作为数据使用主体，对于数据原始主体负有数据质量保证义务。如果金某公司、天某查公司在发布企业数据时出现质量问题，会造成数据原始主体竞争权益的增加或减损，同时也会损害数据消费者基于其合理信赖所产生的利益。本案中，“天某查”网站的经营者在收到长某顺公司关于数据准确性问题的投诉及相关证明材料后，有义务对相关数据进行核查并更新，但其既未审查投诉证明材料的真实性，也未采取合理措施纠正征信数据系统中的数据偏差，导致长某顺公司对外持股信息长期未能在“天某查”网站得以显示。错误的持股信息必然带来数据消费主体对长某顺公司经营状况的错误判断，进而对长某顺公司的市场竞争权益产生损害，并损害数据消费者的知情权与互联网征信行业正常的市场竞争秩序。综上，金某公司、天某查公司的行为构成不正当竞争，应当承担停止侵害、消除影响等民事责任，遂判令金某公司、天某查公司在其经营的“天某查”网站将长某顺公司的持股信息列入奥某德公司的股东信息页面，刊登声明消除影响，并赔偿长某顺公司合理维权开支30880元。</w:t>
      </w:r>
    </w:p>
    <w:p w14:paraId="0A5C3D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Style w:val="8"/>
          <w:rFonts w:hint="eastAsia" w:ascii="微软雅黑" w:hAnsi="微软雅黑" w:eastAsia="微软雅黑" w:cs="微软雅黑"/>
          <w:i w:val="0"/>
          <w:iCs w:val="0"/>
          <w:caps w:val="0"/>
          <w:color w:val="2F2F2F"/>
          <w:spacing w:val="0"/>
          <w:sz w:val="21"/>
          <w:szCs w:val="21"/>
          <w:shd w:val="clear" w:fill="FFFFFF"/>
        </w:rPr>
        <w:t>　　【典型意义】</w:t>
      </w:r>
      <w:r>
        <w:rPr>
          <w:rFonts w:hint="eastAsia" w:ascii="微软雅黑" w:hAnsi="微软雅黑" w:eastAsia="微软雅黑" w:cs="微软雅黑"/>
          <w:i w:val="0"/>
          <w:iCs w:val="0"/>
          <w:caps w:val="0"/>
          <w:color w:val="2F2F2F"/>
          <w:spacing w:val="0"/>
          <w:sz w:val="21"/>
          <w:szCs w:val="21"/>
          <w:shd w:val="clear" w:fill="FFFFFF"/>
        </w:rPr>
        <w:t>本案为数据使用者不正当竞争行为认定的典型案例。人民法院充分考虑大数据业态发展阶段、商业模式、技术现状，以及数字经济发展现状与规律，积极探索适用反不正当竞争法的原则性条款，合理确定原始数据主体竞争权益的范围以及数据使用者应当承担的数据质量保证义务等，对于促进数据产业健康发展，助力营造开放、健康、安全的数字生态具有积极意义。</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汉仪尚巍流云体W">
    <w:panose1 w:val="00020600040101010101"/>
    <w:charset w:val="86"/>
    <w:family w:val="auto"/>
    <w:pitch w:val="default"/>
    <w:sig w:usb0="A00000BF" w:usb1="2AC77CFA" w:usb2="00000016" w:usb3="00000000" w:csb0="000400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如愿以偿手写体">
    <w:panose1 w:val="02010600010101010101"/>
    <w:charset w:val="86"/>
    <w:family w:val="auto"/>
    <w:pitch w:val="default"/>
    <w:sig w:usb0="00000001" w:usb1="08010410" w:usb2="00000012" w:usb3="00000000" w:csb0="00140001" w:csb1="00000000"/>
  </w:font>
  <w:font w:name="在手心写你的名字">
    <w:panose1 w:val="02000503000000000000"/>
    <w:charset w:val="86"/>
    <w:family w:val="auto"/>
    <w:pitch w:val="default"/>
    <w:sig w:usb0="8000002F" w:usb1="084164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5CC5B"/>
    <w:multiLevelType w:val="singleLevel"/>
    <w:tmpl w:val="6825CC5B"/>
    <w:lvl w:ilvl="0" w:tentative="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10211"/>
    <w:rsid w:val="05F85DD1"/>
    <w:rsid w:val="06082759"/>
    <w:rsid w:val="06910211"/>
    <w:rsid w:val="22211052"/>
    <w:rsid w:val="22AA2D86"/>
    <w:rsid w:val="290351DD"/>
    <w:rsid w:val="36D7111B"/>
    <w:rsid w:val="38E976FB"/>
    <w:rsid w:val="44102076"/>
    <w:rsid w:val="456B1EBF"/>
    <w:rsid w:val="46A72886"/>
    <w:rsid w:val="52891E6B"/>
    <w:rsid w:val="57E54E16"/>
    <w:rsid w:val="5DFA22FC"/>
    <w:rsid w:val="76354324"/>
    <w:rsid w:val="76D85655"/>
    <w:rsid w:val="7F77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楷体"/>
      <w:b/>
      <w:i/>
      <w:color w:val="C00000"/>
      <w:kern w:val="44"/>
      <w:sz w:val="24"/>
      <w:u w:val="words"/>
    </w:rPr>
  </w:style>
  <w:style w:type="paragraph" w:styleId="3">
    <w:name w:val="heading 2"/>
    <w:basedOn w:val="1"/>
    <w:next w:val="1"/>
    <w:link w:val="10"/>
    <w:semiHidden/>
    <w:unhideWhenUsed/>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9"/>
    <w:semiHidden/>
    <w:unhideWhenUsed/>
    <w:qFormat/>
    <w:uiPriority w:val="0"/>
    <w:pPr>
      <w:keepNext/>
      <w:keepLines/>
      <w:numPr>
        <w:ilvl w:val="0"/>
        <w:numId w:val="1"/>
      </w:numPr>
      <w:spacing w:beforeLines="0" w:beforeAutospacing="0" w:afterLines="0" w:afterAutospacing="0" w:line="240" w:lineRule="auto"/>
      <w:jc w:val="left"/>
      <w:outlineLvl w:val="2"/>
    </w:pPr>
    <w:rPr>
      <w:rFonts w:ascii="Times New Roman" w:hAnsi="Times New Roman" w:eastAsia="黑体"/>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3 Char"/>
    <w:link w:val="4"/>
    <w:qFormat/>
    <w:uiPriority w:val="0"/>
    <w:rPr>
      <w:rFonts w:ascii="Times New Roman" w:hAnsi="Times New Roman" w:eastAsia="黑体"/>
      <w:b/>
      <w:sz w:val="24"/>
    </w:rPr>
  </w:style>
  <w:style w:type="character" w:customStyle="1" w:styleId="10">
    <w:name w:val="标题 2 Char"/>
    <w:link w:val="3"/>
    <w:qFormat/>
    <w:uiPriority w:val="0"/>
    <w:rPr>
      <w:rFonts w:ascii="Arial" w:hAnsi="Arial" w:eastAsia="黑体"/>
      <w:b/>
      <w:sz w:val="28"/>
    </w:rPr>
  </w:style>
  <w:style w:type="paragraph" w:customStyle="1" w:styleId="11">
    <w:name w:val="填空答案"/>
    <w:basedOn w:val="1"/>
    <w:qFormat/>
    <w:uiPriority w:val="0"/>
    <w:pPr>
      <w:widowControl/>
      <w:shd w:val="clear" w:color="auto" w:fill="FFFFFF"/>
      <w:wordWrap w:val="0"/>
      <w:spacing w:line="120" w:lineRule="auto"/>
      <w:jc w:val="left"/>
    </w:pPr>
    <w:rPr>
      <w:rFonts w:hint="default" w:eastAsia="楷体" w:asciiTheme="minorAscii" w:hAnsiTheme="minorAscii" w:cstheme="minorEastAsia"/>
      <w:bCs/>
      <w:i/>
      <w:kern w:val="0"/>
      <w:sz w:val="22"/>
      <w:szCs w:val="22"/>
      <w:u w:val="words"/>
      <w:shd w:val="clear" w:color="auto"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2025-03-26T01:43:00Z</dcterms:created>
  <dc:creator>Arrietty</dc:creator>
  <cp:lastModifiedBy>Arrietty</cp:lastModifiedBy>
  <dcterms:modified xsi:type="dcterms:W3CDTF">2025-03-26T02:03:53Z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F5C5FEC327224C54B8E1BB4AD5916A44_11</vt:lpwstr>
  </property>
  <property fmtid="{D5CDD505-2E9C-101B-9397-08002B2CF9AE}" pid="4" name="KSOTemplateDocerSaveRecord">
    <vt:lpwstr>eyJoZGlkIjoiZjVhNGJiMWVmZTg4ZjFhYWZhYWFiMzBkODkwYWRkZmUiLCJ1c2VySWQiOiI2ODgzNDA3NDYifQ==</vt:lpwstr>
  </property>
</Properties>
</file>