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7145C" w14:textId="75C19267" w:rsidR="00A32184" w:rsidRPr="00A32184" w:rsidRDefault="00A32184" w:rsidP="00C972E5">
      <w:pPr>
        <w:jc w:val="center"/>
        <w:rPr>
          <w:rFonts w:ascii="Times New Roman" w:eastAsia="宋体" w:hAnsi="Times New Roman" w:cs="Times New Roman"/>
          <w:b/>
          <w:bCs/>
          <w:sz w:val="32"/>
          <w:szCs w:val="32"/>
        </w:rPr>
      </w:pPr>
      <w:r w:rsidRPr="00A32184">
        <w:rPr>
          <w:rFonts w:ascii="Times New Roman" w:eastAsia="宋体" w:hAnsi="Times New Roman" w:cs="Times New Roman" w:hint="eastAsia"/>
          <w:b/>
          <w:bCs/>
          <w:sz w:val="32"/>
          <w:szCs w:val="32"/>
        </w:rPr>
        <w:t>202</w:t>
      </w:r>
      <w:r w:rsidR="000E52FC">
        <w:rPr>
          <w:rFonts w:ascii="Times New Roman" w:eastAsia="宋体" w:hAnsi="Times New Roman" w:cs="Times New Roman" w:hint="eastAsia"/>
          <w:b/>
          <w:bCs/>
          <w:sz w:val="32"/>
          <w:szCs w:val="32"/>
        </w:rPr>
        <w:t>5</w:t>
      </w:r>
      <w:r w:rsidRPr="00A32184">
        <w:rPr>
          <w:rFonts w:ascii="Times New Roman" w:eastAsia="宋体" w:hAnsi="Times New Roman" w:cs="Times New Roman" w:hint="eastAsia"/>
          <w:b/>
          <w:bCs/>
          <w:sz w:val="32"/>
          <w:szCs w:val="32"/>
        </w:rPr>
        <w:t>届高三下学期生物培优（</w:t>
      </w:r>
      <w:r w:rsidR="009472D2">
        <w:rPr>
          <w:rFonts w:ascii="Times New Roman" w:eastAsia="宋体" w:hAnsi="Times New Roman" w:cs="Times New Roman" w:hint="eastAsia"/>
          <w:b/>
          <w:bCs/>
          <w:sz w:val="32"/>
          <w:szCs w:val="32"/>
        </w:rPr>
        <w:t>四</w:t>
      </w:r>
      <w:r w:rsidRPr="00A32184">
        <w:rPr>
          <w:rFonts w:ascii="Times New Roman" w:eastAsia="宋体" w:hAnsi="Times New Roman" w:cs="Times New Roman" w:hint="eastAsia"/>
          <w:b/>
          <w:bCs/>
          <w:sz w:val="32"/>
          <w:szCs w:val="32"/>
        </w:rPr>
        <w:t>）</w:t>
      </w:r>
    </w:p>
    <w:p w14:paraId="12C8A523" w14:textId="5A885D1A" w:rsidR="00695ED5" w:rsidRPr="008D04D6" w:rsidRDefault="00C4464D" w:rsidP="00C34174">
      <w:pPr>
        <w:rPr>
          <w:rFonts w:ascii="Times New Roman" w:eastAsia="宋体" w:hAnsi="Times New Roman" w:cs="Times New Roman"/>
          <w:b/>
          <w:bCs/>
          <w:sz w:val="28"/>
          <w:szCs w:val="28"/>
        </w:rPr>
      </w:pPr>
      <w:r w:rsidRPr="008D04D6">
        <w:rPr>
          <w:rFonts w:ascii="Times New Roman" w:eastAsia="宋体" w:hAnsi="Times New Roman" w:cs="Times New Roman" w:hint="eastAsia"/>
          <w:b/>
          <w:bCs/>
          <w:sz w:val="28"/>
          <w:szCs w:val="28"/>
        </w:rPr>
        <w:t>【典例分析】</w:t>
      </w:r>
    </w:p>
    <w:p w14:paraId="570047D9" w14:textId="058FEAB7" w:rsidR="009472D2" w:rsidRPr="009472D2" w:rsidRDefault="009472D2" w:rsidP="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长时程增强（</w:t>
      </w:r>
      <w:r w:rsidRPr="009472D2">
        <w:rPr>
          <w:rFonts w:ascii="宋体" w:eastAsia="宋体" w:hAnsi="宋体" w:cs="Times New Roman"/>
          <w:color w:val="000000"/>
        </w:rPr>
        <w:t>LTP</w:t>
      </w:r>
      <w:r w:rsidRPr="009472D2">
        <w:rPr>
          <w:rFonts w:ascii="宋体" w:eastAsia="宋体" w:hAnsi="宋体" w:hint="eastAsia"/>
          <w:color w:val="000000"/>
        </w:rPr>
        <w:t>）是突触前纤维受到高频刺激后，突触传递强度增强且能持续数小时至几天的电现象，与人的长时记忆有关。下图是海马区某侧支</w:t>
      </w:r>
      <w:r w:rsidRPr="009472D2">
        <w:rPr>
          <w:rFonts w:ascii="宋体" w:eastAsia="宋体" w:hAnsi="宋体" w:cs="Times New Roman"/>
          <w:color w:val="000000"/>
        </w:rPr>
        <w:t>LTP</w:t>
      </w:r>
      <w:r w:rsidRPr="009472D2">
        <w:rPr>
          <w:rFonts w:ascii="宋体" w:eastAsia="宋体" w:hAnsi="宋体" w:hint="eastAsia"/>
          <w:color w:val="000000"/>
        </w:rPr>
        <w:t>产生机制示意图，回答下列问题：</w:t>
      </w:r>
    </w:p>
    <w:p w14:paraId="40D1270D" w14:textId="5347D3A9" w:rsidR="009472D2" w:rsidRPr="009472D2" w:rsidRDefault="009472D2" w:rsidP="00182C03">
      <w:pPr>
        <w:spacing w:line="360" w:lineRule="auto"/>
        <w:jc w:val="center"/>
        <w:textAlignment w:val="center"/>
        <w:rPr>
          <w:rFonts w:ascii="宋体" w:eastAsia="宋体" w:hAnsi="宋体" w:hint="eastAsia"/>
          <w:color w:val="000000"/>
        </w:rPr>
      </w:pPr>
      <w:r w:rsidRPr="009472D2">
        <w:rPr>
          <w:rFonts w:ascii="宋体" w:eastAsia="宋体" w:hAnsi="宋体"/>
          <w:noProof/>
          <w:color w:val="000000"/>
        </w:rPr>
        <w:drawing>
          <wp:inline distT="0" distB="0" distL="0" distR="0" wp14:anchorId="58FD3B1D" wp14:editId="62D821D5">
            <wp:extent cx="5503548" cy="2566988"/>
            <wp:effectExtent l="0" t="0" r="1905" b="5080"/>
            <wp:docPr id="1265479235"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7" descr="学科网(www.zxxk.com)--教育资源门户，提供试卷、教案、课件、论文、素材以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5672" cy="2577307"/>
                    </a:xfrm>
                    <a:prstGeom prst="rect">
                      <a:avLst/>
                    </a:prstGeom>
                    <a:noFill/>
                    <a:ln>
                      <a:noFill/>
                    </a:ln>
                  </pic:spPr>
                </pic:pic>
              </a:graphicData>
            </a:graphic>
          </wp:inline>
        </w:drawing>
      </w:r>
    </w:p>
    <w:p w14:paraId="32D3E1AF" w14:textId="77777777" w:rsidR="009472D2" w:rsidRPr="009472D2" w:rsidRDefault="009472D2" w:rsidP="009472D2">
      <w:pPr>
        <w:spacing w:line="360" w:lineRule="auto"/>
        <w:jc w:val="left"/>
        <w:textAlignment w:val="center"/>
        <w:rPr>
          <w:rFonts w:ascii="宋体" w:eastAsia="宋体" w:hAnsi="宋体" w:hint="eastAsia"/>
          <w:color w:val="000000"/>
        </w:rPr>
      </w:pPr>
      <w:r w:rsidRPr="009472D2">
        <w:rPr>
          <w:rFonts w:ascii="宋体" w:eastAsia="宋体" w:hAnsi="宋体" w:hint="eastAsia"/>
          <w:color w:val="000000"/>
        </w:rPr>
        <w:t>（</w:t>
      </w:r>
      <w:r w:rsidRPr="009472D2">
        <w:rPr>
          <w:rFonts w:ascii="宋体" w:eastAsia="宋体" w:hAnsi="宋体"/>
          <w:color w:val="000000"/>
        </w:rPr>
        <w:t>1</w:t>
      </w:r>
      <w:r w:rsidRPr="009472D2">
        <w:rPr>
          <w:rFonts w:ascii="宋体" w:eastAsia="宋体" w:hAnsi="宋体" w:hint="eastAsia"/>
          <w:color w:val="000000"/>
        </w:rPr>
        <w:t>）依据以上机制示意图，</w:t>
      </w:r>
      <w:r w:rsidRPr="009472D2">
        <w:rPr>
          <w:rFonts w:ascii="宋体" w:eastAsia="宋体" w:hAnsi="宋体" w:cs="Times New Roman"/>
          <w:color w:val="000000"/>
        </w:rPr>
        <w:t>LTP</w:t>
      </w:r>
      <w:r w:rsidRPr="009472D2">
        <w:rPr>
          <w:rFonts w:ascii="宋体" w:eastAsia="宋体" w:hAnsi="宋体" w:hint="eastAsia"/>
          <w:color w:val="000000"/>
        </w:rPr>
        <w:t>的发生属于</w:t>
      </w:r>
      <w:r w:rsidRPr="009472D2">
        <w:rPr>
          <w:rFonts w:ascii="宋体" w:eastAsia="宋体" w:hAnsi="宋体"/>
          <w:color w:val="000000"/>
        </w:rPr>
        <w:t>______</w:t>
      </w:r>
      <w:r w:rsidRPr="009472D2">
        <w:rPr>
          <w:rFonts w:ascii="宋体" w:eastAsia="宋体" w:hAnsi="宋体" w:cs="Times New Roman"/>
          <w:color w:val="000000"/>
        </w:rPr>
        <w:t xml:space="preserve"> </w:t>
      </w:r>
      <w:r w:rsidRPr="009472D2">
        <w:rPr>
          <w:rFonts w:ascii="宋体" w:eastAsia="宋体" w:hAnsi="宋体" w:hint="eastAsia"/>
          <w:color w:val="000000"/>
        </w:rPr>
        <w:t>（填“正”或“负”）反馈调节。</w:t>
      </w:r>
    </w:p>
    <w:p w14:paraId="0585C6C0" w14:textId="77777777" w:rsidR="009472D2" w:rsidRPr="009472D2" w:rsidRDefault="009472D2" w:rsidP="009472D2">
      <w:pPr>
        <w:spacing w:line="360" w:lineRule="auto"/>
        <w:jc w:val="left"/>
        <w:textAlignment w:val="center"/>
        <w:rPr>
          <w:rFonts w:ascii="宋体" w:eastAsia="宋体" w:hAnsi="宋体" w:hint="eastAsia"/>
          <w:color w:val="000000"/>
        </w:rPr>
      </w:pPr>
      <w:r w:rsidRPr="009472D2">
        <w:rPr>
          <w:rFonts w:ascii="宋体" w:eastAsia="宋体" w:hAnsi="宋体" w:hint="eastAsia"/>
          <w:color w:val="000000"/>
        </w:rPr>
        <w:t>（</w:t>
      </w:r>
      <w:r w:rsidRPr="009472D2">
        <w:rPr>
          <w:rFonts w:ascii="宋体" w:eastAsia="宋体" w:hAnsi="宋体"/>
          <w:color w:val="000000"/>
        </w:rPr>
        <w:t>2</w:t>
      </w:r>
      <w:r w:rsidRPr="009472D2">
        <w:rPr>
          <w:rFonts w:ascii="宋体" w:eastAsia="宋体" w:hAnsi="宋体" w:hint="eastAsia"/>
          <w:color w:val="000000"/>
        </w:rPr>
        <w:t>）若阻断</w:t>
      </w:r>
      <w:r w:rsidRPr="009472D2">
        <w:rPr>
          <w:rFonts w:ascii="宋体" w:eastAsia="宋体" w:hAnsi="宋体" w:cs="Times New Roman"/>
          <w:color w:val="000000"/>
        </w:rPr>
        <w:t>NMDA</w:t>
      </w:r>
      <w:r w:rsidRPr="009472D2">
        <w:rPr>
          <w:rFonts w:ascii="宋体" w:eastAsia="宋体" w:hAnsi="宋体" w:hint="eastAsia"/>
          <w:color w:val="000000"/>
        </w:rPr>
        <w:t>受体作用，再高频刺激突触前膜，未诱发</w:t>
      </w:r>
      <w:r w:rsidRPr="009472D2">
        <w:rPr>
          <w:rFonts w:ascii="宋体" w:eastAsia="宋体" w:hAnsi="宋体" w:cs="Times New Roman"/>
          <w:color w:val="000000"/>
        </w:rPr>
        <w:t>LTP</w:t>
      </w:r>
      <w:r w:rsidRPr="009472D2">
        <w:rPr>
          <w:rFonts w:ascii="宋体" w:eastAsia="宋体" w:hAnsi="宋体" w:hint="eastAsia"/>
          <w:color w:val="000000"/>
        </w:rPr>
        <w:t>，但出现了突触后膜电现象。据图推断，该电现象与</w:t>
      </w:r>
      <w:r w:rsidRPr="009472D2">
        <w:rPr>
          <w:rFonts w:ascii="宋体" w:eastAsia="宋体" w:hAnsi="宋体"/>
          <w:color w:val="000000"/>
        </w:rPr>
        <w:t>_______</w:t>
      </w:r>
      <w:r w:rsidRPr="009472D2">
        <w:rPr>
          <w:rFonts w:ascii="宋体" w:eastAsia="宋体" w:hAnsi="宋体" w:hint="eastAsia"/>
          <w:color w:val="000000"/>
        </w:rPr>
        <w:t>内流有关。</w:t>
      </w:r>
    </w:p>
    <w:p w14:paraId="782674DC" w14:textId="77777777" w:rsidR="009472D2" w:rsidRPr="009472D2" w:rsidRDefault="009472D2" w:rsidP="009472D2">
      <w:pPr>
        <w:spacing w:line="360" w:lineRule="auto"/>
        <w:jc w:val="left"/>
        <w:textAlignment w:val="center"/>
        <w:rPr>
          <w:rFonts w:ascii="宋体" w:eastAsia="宋体" w:hAnsi="宋体" w:hint="eastAsia"/>
          <w:color w:val="000000"/>
        </w:rPr>
      </w:pPr>
      <w:r w:rsidRPr="009472D2">
        <w:rPr>
          <w:rFonts w:ascii="宋体" w:eastAsia="宋体" w:hAnsi="宋体" w:hint="eastAsia"/>
          <w:color w:val="000000"/>
        </w:rPr>
        <w:t>（</w:t>
      </w:r>
      <w:r w:rsidRPr="009472D2">
        <w:rPr>
          <w:rFonts w:ascii="宋体" w:eastAsia="宋体" w:hAnsi="宋体"/>
          <w:color w:val="000000"/>
        </w:rPr>
        <w:t>3</w:t>
      </w:r>
      <w:r w:rsidRPr="009472D2">
        <w:rPr>
          <w:rFonts w:ascii="宋体" w:eastAsia="宋体" w:hAnsi="宋体" w:hint="eastAsia"/>
          <w:color w:val="000000"/>
        </w:rPr>
        <w:t>）为了探讨</w:t>
      </w:r>
      <w:r w:rsidRPr="009472D2">
        <w:rPr>
          <w:rFonts w:ascii="宋体" w:eastAsia="宋体" w:hAnsi="宋体" w:cs="Times New Roman"/>
          <w:color w:val="000000"/>
        </w:rPr>
        <w:t>L</w:t>
      </w:r>
      <w:r w:rsidRPr="009472D2">
        <w:rPr>
          <w:rFonts w:ascii="宋体" w:eastAsia="宋体" w:hAnsi="宋体" w:hint="eastAsia"/>
          <w:color w:val="000000"/>
        </w:rPr>
        <w:t>蛋白的自身磷酸化位点（图中α位和β位）对</w:t>
      </w:r>
      <w:r w:rsidRPr="009472D2">
        <w:rPr>
          <w:rFonts w:ascii="宋体" w:eastAsia="宋体" w:hAnsi="宋体" w:cs="Times New Roman"/>
          <w:color w:val="000000"/>
        </w:rPr>
        <w:t>L</w:t>
      </w:r>
      <w:r w:rsidRPr="009472D2">
        <w:rPr>
          <w:rFonts w:ascii="宋体" w:eastAsia="宋体" w:hAnsi="宋体" w:hint="eastAsia"/>
          <w:color w:val="000000"/>
        </w:rPr>
        <w:t>蛋白自我激活的影响，研究人员构建了四种突变小鼠甲、乙、丙和丁，并开展了相关实验，结果如表所示：</w:t>
      </w: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4A0" w:firstRow="1" w:lastRow="0" w:firstColumn="1" w:lastColumn="0" w:noHBand="0" w:noVBand="1"/>
      </w:tblPr>
      <w:tblGrid>
        <w:gridCol w:w="1977"/>
        <w:gridCol w:w="992"/>
        <w:gridCol w:w="1843"/>
        <w:gridCol w:w="2551"/>
        <w:gridCol w:w="1843"/>
        <w:gridCol w:w="1134"/>
      </w:tblGrid>
      <w:tr w:rsidR="00ED7C7F" w:rsidRPr="009472D2" w14:paraId="64822A8B" w14:textId="77777777" w:rsidTr="00ED7C7F">
        <w:tc>
          <w:tcPr>
            <w:tcW w:w="1977" w:type="dxa"/>
            <w:vMerge w:val="restart"/>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765E1634" w14:textId="576931D2"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noProof/>
                <w:color w:val="000000"/>
              </w:rPr>
              <w:drawing>
                <wp:inline distT="0" distB="0" distL="0" distR="0" wp14:anchorId="05D1A6FF" wp14:editId="4631D890">
                  <wp:extent cx="1057275" cy="1129665"/>
                  <wp:effectExtent l="0" t="0" r="9525" b="0"/>
                  <wp:docPr id="736717074"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9"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5559" cy="1202624"/>
                          </a:xfrm>
                          <a:prstGeom prst="rect">
                            <a:avLst/>
                          </a:prstGeom>
                          <a:noFill/>
                          <a:ln>
                            <a:noFill/>
                          </a:ln>
                        </pic:spPr>
                      </pic:pic>
                    </a:graphicData>
                  </a:graphic>
                </wp:inline>
              </w:drawing>
            </w:r>
          </w:p>
        </w:tc>
        <w:tc>
          <w:tcPr>
            <w:tcW w:w="992" w:type="dxa"/>
            <w:vMerge w:val="restart"/>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4A194B6"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正常</w:t>
            </w:r>
          </w:p>
          <w:p w14:paraId="55D2E814"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小鼠</w:t>
            </w:r>
          </w:p>
        </w:tc>
        <w:tc>
          <w:tcPr>
            <w:tcW w:w="184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171E1891"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甲</w:t>
            </w:r>
          </w:p>
        </w:tc>
        <w:tc>
          <w:tcPr>
            <w:tcW w:w="255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78A12938"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乙</w:t>
            </w:r>
          </w:p>
        </w:tc>
        <w:tc>
          <w:tcPr>
            <w:tcW w:w="184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9B75289"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丙</w:t>
            </w:r>
          </w:p>
        </w:tc>
        <w:tc>
          <w:tcPr>
            <w:tcW w:w="1134"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68E64216"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丁</w:t>
            </w:r>
          </w:p>
        </w:tc>
      </w:tr>
      <w:tr w:rsidR="00ED7C7F" w:rsidRPr="009472D2" w14:paraId="35B11CE2" w14:textId="77777777" w:rsidTr="00ED7C7F">
        <w:tc>
          <w:tcPr>
            <w:tcW w:w="1977" w:type="dxa"/>
            <w:vMerge/>
            <w:tcBorders>
              <w:top w:val="single" w:sz="6" w:space="0" w:color="000000"/>
              <w:left w:val="single" w:sz="6" w:space="0" w:color="000000"/>
              <w:bottom w:val="single" w:sz="6" w:space="0" w:color="000000"/>
              <w:right w:val="single" w:sz="6" w:space="0" w:color="000000"/>
            </w:tcBorders>
            <w:vAlign w:val="center"/>
            <w:hideMark/>
          </w:tcPr>
          <w:p w14:paraId="70A70D8E" w14:textId="77777777" w:rsidR="009472D2" w:rsidRPr="009472D2" w:rsidRDefault="009472D2">
            <w:pPr>
              <w:widowControl/>
              <w:jc w:val="left"/>
              <w:rPr>
                <w:rFonts w:ascii="宋体" w:eastAsia="宋体" w:hAnsi="宋体" w:hint="eastAsia"/>
                <w:color w:val="000000"/>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53BFF27A" w14:textId="77777777" w:rsidR="009472D2" w:rsidRPr="009472D2" w:rsidRDefault="009472D2">
            <w:pPr>
              <w:widowControl/>
              <w:jc w:val="left"/>
              <w:rPr>
                <w:rFonts w:ascii="宋体" w:eastAsia="宋体" w:hAnsi="宋体" w:hint="eastAsia"/>
                <w:color w:val="000000"/>
                <w:szCs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05C60FC3"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α位突变为缬氨酸，该位点不发生自身磷酸化</w:t>
            </w:r>
          </w:p>
        </w:tc>
        <w:tc>
          <w:tcPr>
            <w:tcW w:w="255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1A574C5D"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α位突变为天冬氨酸，阻断</w:t>
            </w:r>
            <w:r w:rsidRPr="009472D2">
              <w:rPr>
                <w:rFonts w:ascii="宋体" w:eastAsia="宋体" w:hAnsi="宋体" w:cs="Times New Roman"/>
                <w:color w:val="000000"/>
              </w:rPr>
              <w:t>Ca</w:t>
            </w:r>
            <w:r w:rsidRPr="009472D2">
              <w:rPr>
                <w:rFonts w:ascii="宋体" w:eastAsia="宋体" w:hAnsi="宋体"/>
                <w:color w:val="000000"/>
                <w:vertAlign w:val="superscript"/>
              </w:rPr>
              <w:t>2+</w:t>
            </w:r>
            <w:r w:rsidRPr="009472D2">
              <w:rPr>
                <w:rFonts w:ascii="宋体" w:eastAsia="宋体" w:hAnsi="宋体" w:cs="Times New Roman"/>
                <w:color w:val="000000"/>
              </w:rPr>
              <w:t>/</w:t>
            </w:r>
            <w:r w:rsidRPr="009472D2">
              <w:rPr>
                <w:rFonts w:ascii="宋体" w:eastAsia="宋体" w:hAnsi="宋体" w:hint="eastAsia"/>
                <w:color w:val="000000"/>
              </w:rPr>
              <w:t>钙调蛋白复合体与</w:t>
            </w:r>
            <w:r w:rsidRPr="009472D2">
              <w:rPr>
                <w:rFonts w:ascii="宋体" w:eastAsia="宋体" w:hAnsi="宋体" w:cs="Times New Roman"/>
                <w:color w:val="000000"/>
              </w:rPr>
              <w:t>L</w:t>
            </w:r>
            <w:r w:rsidRPr="009472D2">
              <w:rPr>
                <w:rFonts w:ascii="宋体" w:eastAsia="宋体" w:hAnsi="宋体" w:hint="eastAsia"/>
                <w:color w:val="000000"/>
              </w:rPr>
              <w:t>蛋白结合</w:t>
            </w:r>
          </w:p>
        </w:tc>
        <w:tc>
          <w:tcPr>
            <w:tcW w:w="184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221938D2"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β位突变为丙氨酸，该位点不发生自身磷酸化</w:t>
            </w:r>
          </w:p>
        </w:tc>
        <w:tc>
          <w:tcPr>
            <w:tcW w:w="1134"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3CA58A22"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cs="Times New Roman"/>
                <w:color w:val="000000"/>
              </w:rPr>
              <w:t>L</w:t>
            </w:r>
            <w:r w:rsidRPr="009472D2">
              <w:rPr>
                <w:rFonts w:ascii="宋体" w:eastAsia="宋体" w:hAnsi="宋体" w:hint="eastAsia"/>
                <w:color w:val="000000"/>
              </w:rPr>
              <w:t>蛋白编码基因确缺失</w:t>
            </w:r>
          </w:p>
        </w:tc>
      </w:tr>
      <w:tr w:rsidR="00ED7C7F" w:rsidRPr="009472D2" w14:paraId="5B520F3F" w14:textId="77777777" w:rsidTr="00ED7C7F">
        <w:tc>
          <w:tcPr>
            <w:tcW w:w="1977"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66ADDE78"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cs="Times New Roman"/>
                <w:color w:val="000000"/>
              </w:rPr>
              <w:t>L</w:t>
            </w:r>
            <w:r w:rsidRPr="009472D2">
              <w:rPr>
                <w:rFonts w:ascii="宋体" w:eastAsia="宋体" w:hAnsi="宋体" w:hint="eastAsia"/>
                <w:color w:val="000000"/>
              </w:rPr>
              <w:t>蛋白活性</w:t>
            </w:r>
          </w:p>
        </w:tc>
        <w:tc>
          <w:tcPr>
            <w:tcW w:w="992"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373C8FAA"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cs="Times New Roman"/>
                <w:color w:val="000000"/>
              </w:rPr>
              <w:t>+</w:t>
            </w:r>
          </w:p>
        </w:tc>
        <w:tc>
          <w:tcPr>
            <w:tcW w:w="184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29604014"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cs="Times New Roman"/>
                <w:color w:val="000000"/>
              </w:rPr>
              <w:t>++++</w:t>
            </w:r>
          </w:p>
        </w:tc>
        <w:tc>
          <w:tcPr>
            <w:tcW w:w="255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6C871881"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cs="Times New Roman"/>
                <w:color w:val="000000"/>
              </w:rPr>
              <w:t>++++</w:t>
            </w:r>
          </w:p>
        </w:tc>
        <w:tc>
          <w:tcPr>
            <w:tcW w:w="184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15C3F385"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cs="Times New Roman"/>
                <w:color w:val="000000"/>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1961E31A"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cs="Times New Roman"/>
                <w:color w:val="000000"/>
              </w:rPr>
              <w:t>-</w:t>
            </w:r>
          </w:p>
        </w:tc>
      </w:tr>
      <w:tr w:rsidR="00ED7C7F" w:rsidRPr="009472D2" w14:paraId="49083B75" w14:textId="77777777" w:rsidTr="00ED7C7F">
        <w:tc>
          <w:tcPr>
            <w:tcW w:w="1977"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761FC391"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高频刺激</w:t>
            </w:r>
          </w:p>
        </w:tc>
        <w:tc>
          <w:tcPr>
            <w:tcW w:w="992"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3B9E9028"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有</w:t>
            </w:r>
            <w:r w:rsidRPr="009472D2">
              <w:rPr>
                <w:rFonts w:ascii="宋体" w:eastAsia="宋体" w:hAnsi="宋体" w:cs="Times New Roman"/>
                <w:color w:val="000000"/>
              </w:rPr>
              <w:t>LTP</w:t>
            </w:r>
          </w:p>
        </w:tc>
        <w:tc>
          <w:tcPr>
            <w:tcW w:w="184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4D0D1962"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有</w:t>
            </w:r>
            <w:r w:rsidRPr="009472D2">
              <w:rPr>
                <w:rFonts w:ascii="宋体" w:eastAsia="宋体" w:hAnsi="宋体" w:cs="Times New Roman"/>
                <w:color w:val="000000"/>
              </w:rPr>
              <w:t>LTP</w:t>
            </w:r>
          </w:p>
        </w:tc>
        <w:tc>
          <w:tcPr>
            <w:tcW w:w="2551"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0A93B00D"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cs="Times New Roman"/>
                <w:color w:val="000000"/>
              </w:rPr>
              <w:t>?</w:t>
            </w:r>
          </w:p>
        </w:tc>
        <w:tc>
          <w:tcPr>
            <w:tcW w:w="184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ED5A854"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无</w:t>
            </w:r>
            <w:r w:rsidRPr="009472D2">
              <w:rPr>
                <w:rFonts w:ascii="宋体" w:eastAsia="宋体" w:hAnsi="宋体" w:cs="Times New Roman"/>
                <w:color w:val="000000"/>
              </w:rPr>
              <w:t>LTP</w:t>
            </w:r>
          </w:p>
        </w:tc>
        <w:tc>
          <w:tcPr>
            <w:tcW w:w="1134"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45A794E7" w14:textId="77777777" w:rsidR="009472D2" w:rsidRPr="009472D2" w:rsidRDefault="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无</w:t>
            </w:r>
            <w:r w:rsidRPr="009472D2">
              <w:rPr>
                <w:rFonts w:ascii="宋体" w:eastAsia="宋体" w:hAnsi="宋体" w:cs="Times New Roman"/>
                <w:color w:val="000000"/>
              </w:rPr>
              <w:t>LTP</w:t>
            </w:r>
          </w:p>
        </w:tc>
      </w:tr>
    </w:tbl>
    <w:p w14:paraId="5BDDD3AA" w14:textId="77777777" w:rsidR="009472D2" w:rsidRPr="009472D2" w:rsidRDefault="009472D2" w:rsidP="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注：“</w:t>
      </w:r>
      <w:r w:rsidRPr="009472D2">
        <w:rPr>
          <w:rFonts w:ascii="宋体" w:eastAsia="宋体" w:hAnsi="宋体" w:cs="Times New Roman"/>
          <w:color w:val="000000"/>
        </w:rPr>
        <w:t>+</w:t>
      </w:r>
      <w:r w:rsidRPr="009472D2">
        <w:rPr>
          <w:rFonts w:ascii="宋体" w:eastAsia="宋体" w:hAnsi="宋体" w:hint="eastAsia"/>
          <w:color w:val="000000"/>
        </w:rPr>
        <w:t>”多少表示活性强弱，“</w:t>
      </w:r>
      <w:r w:rsidRPr="009472D2">
        <w:rPr>
          <w:rFonts w:ascii="宋体" w:eastAsia="宋体" w:hAnsi="宋体" w:cs="Times New Roman"/>
          <w:color w:val="000000"/>
        </w:rPr>
        <w:t>-</w:t>
      </w:r>
      <w:r w:rsidRPr="009472D2">
        <w:rPr>
          <w:rFonts w:ascii="宋体" w:eastAsia="宋体" w:hAnsi="宋体" w:hint="eastAsia"/>
          <w:color w:val="000000"/>
        </w:rPr>
        <w:t>”表示无活性。</w:t>
      </w:r>
    </w:p>
    <w:p w14:paraId="680E0AA1" w14:textId="77777777" w:rsidR="009472D2" w:rsidRPr="009472D2" w:rsidRDefault="009472D2" w:rsidP="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据此分析：</w:t>
      </w:r>
    </w:p>
    <w:p w14:paraId="7DBAB593" w14:textId="77777777" w:rsidR="009472D2" w:rsidRPr="009472D2" w:rsidRDefault="009472D2" w:rsidP="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①小鼠乙在高频刺激后</w:t>
      </w:r>
      <w:r w:rsidRPr="009472D2">
        <w:rPr>
          <w:rFonts w:ascii="宋体" w:eastAsia="宋体" w:hAnsi="宋体"/>
          <w:color w:val="000000"/>
        </w:rPr>
        <w:t>______</w:t>
      </w:r>
      <w:r w:rsidRPr="009472D2">
        <w:rPr>
          <w:rFonts w:ascii="宋体" w:eastAsia="宋体" w:hAnsi="宋体" w:hint="eastAsia"/>
          <w:color w:val="000000"/>
        </w:rPr>
        <w:t>（填“有”或“无”）</w:t>
      </w:r>
      <w:r w:rsidRPr="009472D2">
        <w:rPr>
          <w:rFonts w:ascii="宋体" w:eastAsia="宋体" w:hAnsi="宋体" w:cs="Times New Roman"/>
          <w:color w:val="000000"/>
        </w:rPr>
        <w:t>LTP</w:t>
      </w:r>
      <w:r w:rsidRPr="009472D2">
        <w:rPr>
          <w:rFonts w:ascii="宋体" w:eastAsia="宋体" w:hAnsi="宋体" w:hint="eastAsia"/>
          <w:color w:val="000000"/>
        </w:rPr>
        <w:t>现象，原因是</w:t>
      </w:r>
      <w:r w:rsidRPr="009472D2">
        <w:rPr>
          <w:rFonts w:ascii="宋体" w:eastAsia="宋体" w:hAnsi="宋体"/>
          <w:color w:val="000000"/>
        </w:rPr>
        <w:t>___________</w:t>
      </w:r>
      <w:r w:rsidRPr="009472D2">
        <w:rPr>
          <w:rFonts w:ascii="宋体" w:eastAsia="宋体" w:hAnsi="宋体" w:cs="Times New Roman"/>
          <w:color w:val="000000"/>
        </w:rPr>
        <w:t xml:space="preserve"> ;</w:t>
      </w:r>
    </w:p>
    <w:p w14:paraId="7ED4C89A" w14:textId="77777777" w:rsidR="009472D2" w:rsidRPr="009472D2" w:rsidRDefault="009472D2" w:rsidP="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②α位的自身磷酸化可能对</w:t>
      </w:r>
      <w:r w:rsidRPr="009472D2">
        <w:rPr>
          <w:rFonts w:ascii="宋体" w:eastAsia="宋体" w:hAnsi="宋体" w:cs="Times New Roman"/>
          <w:color w:val="000000"/>
        </w:rPr>
        <w:t>L</w:t>
      </w:r>
      <w:r w:rsidRPr="009472D2">
        <w:rPr>
          <w:rFonts w:ascii="宋体" w:eastAsia="宋体" w:hAnsi="宋体" w:hint="eastAsia"/>
          <w:color w:val="000000"/>
        </w:rPr>
        <w:t>蛋白活性具有</w:t>
      </w:r>
      <w:r w:rsidRPr="009472D2">
        <w:rPr>
          <w:rFonts w:ascii="宋体" w:eastAsia="宋体" w:hAnsi="宋体"/>
          <w:color w:val="000000"/>
        </w:rPr>
        <w:t>________</w:t>
      </w:r>
      <w:r w:rsidRPr="009472D2">
        <w:rPr>
          <w:rFonts w:ascii="宋体" w:eastAsia="宋体" w:hAnsi="宋体" w:hint="eastAsia"/>
          <w:color w:val="000000"/>
        </w:rPr>
        <w:t>作用。</w:t>
      </w:r>
    </w:p>
    <w:p w14:paraId="4420B40E" w14:textId="77777777" w:rsidR="009472D2" w:rsidRPr="009472D2" w:rsidRDefault="009472D2" w:rsidP="009472D2">
      <w:pPr>
        <w:spacing w:line="360" w:lineRule="auto"/>
        <w:textAlignment w:val="center"/>
        <w:rPr>
          <w:rFonts w:ascii="宋体" w:eastAsia="宋体" w:hAnsi="宋体" w:hint="eastAsia"/>
          <w:color w:val="000000"/>
        </w:rPr>
      </w:pPr>
      <w:r w:rsidRPr="009472D2">
        <w:rPr>
          <w:rFonts w:ascii="宋体" w:eastAsia="宋体" w:hAnsi="宋体" w:hint="eastAsia"/>
          <w:color w:val="000000"/>
        </w:rPr>
        <w:t>③在甲、乙和丁实验组中，无</w:t>
      </w:r>
      <w:r w:rsidRPr="009472D2">
        <w:rPr>
          <w:rFonts w:ascii="宋体" w:eastAsia="宋体" w:hAnsi="宋体" w:cs="Times New Roman"/>
          <w:color w:val="000000"/>
        </w:rPr>
        <w:t>L</w:t>
      </w:r>
      <w:r w:rsidRPr="009472D2">
        <w:rPr>
          <w:rFonts w:ascii="宋体" w:eastAsia="宋体" w:hAnsi="宋体" w:hint="eastAsia"/>
          <w:color w:val="000000"/>
        </w:rPr>
        <w:t>蛋白β位自身磷酸化的组是</w:t>
      </w:r>
      <w:r w:rsidRPr="009472D2">
        <w:rPr>
          <w:rFonts w:ascii="宋体" w:eastAsia="宋体" w:hAnsi="宋体"/>
          <w:color w:val="000000"/>
        </w:rPr>
        <w:t>__________</w:t>
      </w:r>
      <w:r w:rsidRPr="009472D2">
        <w:rPr>
          <w:rFonts w:ascii="宋体" w:eastAsia="宋体" w:hAnsi="宋体" w:hint="eastAsia"/>
          <w:color w:val="000000"/>
        </w:rPr>
        <w:t>。</w:t>
      </w:r>
    </w:p>
    <w:p w14:paraId="4FC03994" w14:textId="59125A75" w:rsidR="004F2A1E" w:rsidRDefault="004F2A1E" w:rsidP="004F2A1E">
      <w:pPr>
        <w:rPr>
          <w:rFonts w:ascii="Times New Roman" w:eastAsia="宋体" w:hAnsi="Times New Roman" w:cs="Times New Roman"/>
          <w:b/>
          <w:bCs/>
          <w:sz w:val="28"/>
          <w:szCs w:val="28"/>
        </w:rPr>
      </w:pPr>
      <w:r w:rsidRPr="008D04D6">
        <w:rPr>
          <w:rFonts w:ascii="Times New Roman" w:eastAsia="宋体" w:hAnsi="Times New Roman" w:cs="Times New Roman" w:hint="eastAsia"/>
          <w:b/>
          <w:bCs/>
          <w:sz w:val="28"/>
          <w:szCs w:val="28"/>
        </w:rPr>
        <w:lastRenderedPageBreak/>
        <w:t>【对点突破】</w:t>
      </w:r>
    </w:p>
    <w:p w14:paraId="7A2BB809" w14:textId="6164E44D" w:rsidR="00B37FEF" w:rsidRPr="002960E0" w:rsidRDefault="008425B8" w:rsidP="00B37FEF">
      <w:pPr>
        <w:spacing w:line="360" w:lineRule="auto"/>
        <w:jc w:val="left"/>
        <w:textAlignment w:val="center"/>
        <w:rPr>
          <w:rFonts w:ascii="宋体" w:eastAsia="宋体" w:hAnsi="宋体" w:hint="eastAsia"/>
          <w:szCs w:val="21"/>
        </w:rPr>
      </w:pPr>
      <w:r>
        <w:rPr>
          <w:rFonts w:ascii="宋体" w:eastAsia="宋体" w:hAnsi="宋体" w:hint="eastAsia"/>
          <w:szCs w:val="21"/>
        </w:rPr>
        <w:t>1</w:t>
      </w:r>
      <w:r w:rsidR="00B37FEF" w:rsidRPr="002960E0">
        <w:rPr>
          <w:rFonts w:ascii="宋体" w:eastAsia="宋体" w:hAnsi="宋体"/>
          <w:szCs w:val="21"/>
        </w:rPr>
        <w:t>．突触可塑性是指突触连接强度可调节的特性，即突触的效能会随着自身活动的加强与减弱相应得到长时间加强与减弱。下图示意影响大脑海马回中的CA3→CA1突触效能的核心机制——长时程增强（LTP）的机制。请回答下列问题：</w:t>
      </w:r>
    </w:p>
    <w:p w14:paraId="7A401884" w14:textId="48498042" w:rsidR="00B37FEF" w:rsidRPr="002960E0" w:rsidRDefault="00B37FEF" w:rsidP="00B37FEF">
      <w:pPr>
        <w:spacing w:line="360" w:lineRule="auto"/>
        <w:jc w:val="center"/>
        <w:textAlignment w:val="center"/>
        <w:rPr>
          <w:rFonts w:ascii="宋体" w:eastAsia="宋体" w:hAnsi="宋体" w:hint="eastAsia"/>
          <w:szCs w:val="21"/>
        </w:rPr>
      </w:pPr>
      <w:r w:rsidRPr="002960E0">
        <w:rPr>
          <w:rFonts w:ascii="宋体" w:eastAsia="宋体" w:hAnsi="宋体"/>
          <w:noProof/>
          <w:kern w:val="0"/>
          <w:szCs w:val="21"/>
        </w:rPr>
        <w:drawing>
          <wp:inline distT="0" distB="0" distL="0" distR="0" wp14:anchorId="6BE5951E" wp14:editId="150451CD">
            <wp:extent cx="5865358" cy="3700462"/>
            <wp:effectExtent l="0" t="0" r="2540" b="0"/>
            <wp:docPr id="100015" name="图片 100015" descr="@@@e98cb7f3-ba71-449f-b265-5c89ac0868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9"/>
                    <a:stretch>
                      <a:fillRect/>
                    </a:stretch>
                  </pic:blipFill>
                  <pic:spPr>
                    <a:xfrm>
                      <a:off x="0" y="0"/>
                      <a:ext cx="5870746" cy="3703861"/>
                    </a:xfrm>
                    <a:prstGeom prst="rect">
                      <a:avLst/>
                    </a:prstGeom>
                  </pic:spPr>
                </pic:pic>
              </a:graphicData>
            </a:graphic>
          </wp:inline>
        </w:drawing>
      </w:r>
    </w:p>
    <w:p w14:paraId="07F98BD9" w14:textId="3D52FAD4" w:rsidR="00B37FEF" w:rsidRPr="002960E0" w:rsidRDefault="00B37FEF" w:rsidP="00B37FEF">
      <w:pPr>
        <w:spacing w:line="360" w:lineRule="auto"/>
        <w:jc w:val="left"/>
        <w:textAlignment w:val="center"/>
        <w:rPr>
          <w:rFonts w:ascii="宋体" w:eastAsia="宋体" w:hAnsi="宋体" w:hint="eastAsia"/>
          <w:szCs w:val="21"/>
        </w:rPr>
      </w:pPr>
      <w:r w:rsidRPr="002960E0">
        <w:rPr>
          <w:rFonts w:ascii="宋体" w:eastAsia="宋体" w:hAnsi="宋体"/>
          <w:szCs w:val="21"/>
        </w:rPr>
        <w:t>(1)图中CA3神经元末梢膨大部分叫作</w:t>
      </w:r>
      <w:r w:rsidRPr="002960E0">
        <w:rPr>
          <w:rFonts w:ascii="宋体" w:eastAsia="宋体" w:hAnsi="宋体" w:cs="Times New Roman"/>
          <w:szCs w:val="21"/>
          <w:u w:val="single"/>
        </w:rPr>
        <w:t xml:space="preserve">  </w:t>
      </w:r>
      <w:r w:rsidR="002960E0">
        <w:rPr>
          <w:rFonts w:ascii="宋体" w:eastAsia="宋体" w:hAnsi="宋体" w:cs="Times New Roman" w:hint="eastAsia"/>
          <w:szCs w:val="21"/>
          <w:u w:val="single"/>
        </w:rPr>
        <w:t xml:space="preserve">         </w:t>
      </w:r>
      <w:r w:rsidRPr="002960E0">
        <w:rPr>
          <w:rFonts w:ascii="宋体" w:eastAsia="宋体" w:hAnsi="宋体" w:cs="Times New Roman"/>
          <w:szCs w:val="21"/>
          <w:u w:val="single"/>
        </w:rPr>
        <w:t xml:space="preserve">  </w:t>
      </w:r>
      <w:r w:rsidRPr="002960E0">
        <w:rPr>
          <w:rFonts w:ascii="宋体" w:eastAsia="宋体" w:hAnsi="宋体"/>
          <w:szCs w:val="21"/>
        </w:rPr>
        <w:t>，高频刺激其释放的谷氨酸，通过与</w:t>
      </w:r>
      <w:r w:rsidRPr="002960E0">
        <w:rPr>
          <w:rFonts w:ascii="宋体" w:eastAsia="宋体" w:hAnsi="宋体" w:cs="Times New Roman"/>
          <w:szCs w:val="21"/>
          <w:u w:val="single"/>
        </w:rPr>
        <w:t xml:space="preserve">  </w:t>
      </w:r>
      <w:r w:rsidR="002960E0">
        <w:rPr>
          <w:rFonts w:ascii="宋体" w:eastAsia="宋体" w:hAnsi="宋体" w:cs="Times New Roman" w:hint="eastAsia"/>
          <w:szCs w:val="21"/>
          <w:u w:val="single"/>
        </w:rPr>
        <w:t xml:space="preserve">      </w:t>
      </w:r>
      <w:r w:rsidRPr="002960E0">
        <w:rPr>
          <w:rFonts w:ascii="宋体" w:eastAsia="宋体" w:hAnsi="宋体" w:cs="Times New Roman"/>
          <w:szCs w:val="21"/>
          <w:u w:val="single"/>
        </w:rPr>
        <w:t xml:space="preserve">  </w:t>
      </w:r>
      <w:r w:rsidRPr="002960E0">
        <w:rPr>
          <w:rFonts w:ascii="宋体" w:eastAsia="宋体" w:hAnsi="宋体"/>
          <w:szCs w:val="21"/>
        </w:rPr>
        <w:t>受体结合，引起Ca</w:t>
      </w:r>
      <w:r w:rsidRPr="002960E0">
        <w:rPr>
          <w:rFonts w:ascii="宋体" w:eastAsia="宋体" w:hAnsi="宋体"/>
          <w:szCs w:val="21"/>
          <w:vertAlign w:val="superscript"/>
        </w:rPr>
        <w:t>2+</w:t>
      </w:r>
      <w:r w:rsidRPr="002960E0">
        <w:rPr>
          <w:rFonts w:ascii="宋体" w:eastAsia="宋体" w:hAnsi="宋体"/>
          <w:szCs w:val="21"/>
        </w:rPr>
        <w:t>内流，使</w:t>
      </w:r>
      <w:r w:rsidRPr="002960E0">
        <w:rPr>
          <w:rFonts w:ascii="宋体" w:eastAsia="宋体" w:hAnsi="宋体" w:cs="Times New Roman"/>
          <w:szCs w:val="21"/>
          <w:u w:val="single"/>
        </w:rPr>
        <w:t xml:space="preserve">    </w:t>
      </w:r>
      <w:r w:rsidRPr="002960E0">
        <w:rPr>
          <w:rFonts w:ascii="宋体" w:eastAsia="宋体" w:hAnsi="宋体"/>
          <w:szCs w:val="21"/>
        </w:rPr>
        <w:t>钙调蛋白激活，并进一步引起AMPA受体磷酸化，会同谷氨酸的信号，引起</w:t>
      </w:r>
      <w:r w:rsidRPr="002960E0">
        <w:rPr>
          <w:rFonts w:ascii="宋体" w:eastAsia="宋体" w:hAnsi="宋体" w:cs="Times New Roman"/>
          <w:szCs w:val="21"/>
          <w:u w:val="single"/>
        </w:rPr>
        <w:t xml:space="preserve">  </w:t>
      </w:r>
      <w:r w:rsidR="002960E0">
        <w:rPr>
          <w:rFonts w:ascii="宋体" w:eastAsia="宋体" w:hAnsi="宋体" w:cs="Times New Roman" w:hint="eastAsia"/>
          <w:szCs w:val="21"/>
          <w:u w:val="single"/>
        </w:rPr>
        <w:t xml:space="preserve">        </w:t>
      </w:r>
      <w:r w:rsidRPr="002960E0">
        <w:rPr>
          <w:rFonts w:ascii="宋体" w:eastAsia="宋体" w:hAnsi="宋体" w:cs="Times New Roman"/>
          <w:szCs w:val="21"/>
          <w:u w:val="single"/>
        </w:rPr>
        <w:t xml:space="preserve">  </w:t>
      </w:r>
      <w:r w:rsidRPr="002960E0">
        <w:rPr>
          <w:rFonts w:ascii="宋体" w:eastAsia="宋体" w:hAnsi="宋体"/>
          <w:szCs w:val="21"/>
        </w:rPr>
        <w:t>，造成突触后膜的膜内电位</w:t>
      </w:r>
      <w:r w:rsidRPr="002960E0">
        <w:rPr>
          <w:rFonts w:ascii="宋体" w:eastAsia="宋体" w:hAnsi="宋体" w:cs="Times New Roman"/>
          <w:szCs w:val="21"/>
          <w:u w:val="single"/>
        </w:rPr>
        <w:t xml:space="preserve">  </w:t>
      </w:r>
      <w:r w:rsidR="002960E0">
        <w:rPr>
          <w:rFonts w:ascii="宋体" w:eastAsia="宋体" w:hAnsi="宋体" w:cs="Times New Roman" w:hint="eastAsia"/>
          <w:szCs w:val="21"/>
          <w:u w:val="single"/>
        </w:rPr>
        <w:t xml:space="preserve">                    </w:t>
      </w:r>
      <w:r w:rsidRPr="002960E0">
        <w:rPr>
          <w:rFonts w:ascii="宋体" w:eastAsia="宋体" w:hAnsi="宋体" w:cs="Times New Roman"/>
          <w:szCs w:val="21"/>
          <w:u w:val="single"/>
        </w:rPr>
        <w:t xml:space="preserve">  </w:t>
      </w:r>
      <w:r w:rsidRPr="002960E0">
        <w:rPr>
          <w:rFonts w:ascii="宋体" w:eastAsia="宋体" w:hAnsi="宋体"/>
          <w:szCs w:val="21"/>
        </w:rPr>
        <w:t>。</w:t>
      </w:r>
    </w:p>
    <w:p w14:paraId="0B76BC1B" w14:textId="671C9762" w:rsidR="00B37FEF" w:rsidRPr="002960E0" w:rsidRDefault="00B37FEF" w:rsidP="00B37FEF">
      <w:pPr>
        <w:spacing w:line="360" w:lineRule="auto"/>
        <w:jc w:val="left"/>
        <w:textAlignment w:val="center"/>
        <w:rPr>
          <w:rFonts w:ascii="宋体" w:eastAsia="宋体" w:hAnsi="宋体" w:hint="eastAsia"/>
          <w:szCs w:val="21"/>
        </w:rPr>
      </w:pPr>
      <w:r w:rsidRPr="002960E0">
        <w:rPr>
          <w:rFonts w:ascii="宋体" w:eastAsia="宋体" w:hAnsi="宋体"/>
          <w:szCs w:val="21"/>
        </w:rPr>
        <w:t>(2)随着刺激活动的持续和加强，CA1神经元中产生更多有活性的钙调蛋白，通过一系列的反应激活PKA、Rsk、CaM激酶等，可使环腺苷酸反应元件结合蛋白（CREB）磷酸化，增加其活性，激活相关基因的</w:t>
      </w:r>
      <w:r w:rsidRPr="002960E0">
        <w:rPr>
          <w:rFonts w:ascii="宋体" w:eastAsia="宋体" w:hAnsi="宋体" w:cs="Times New Roman"/>
          <w:szCs w:val="21"/>
          <w:u w:val="single"/>
        </w:rPr>
        <w:t xml:space="preserve">    </w:t>
      </w:r>
      <w:r w:rsidRPr="002960E0">
        <w:rPr>
          <w:rFonts w:ascii="宋体" w:eastAsia="宋体" w:hAnsi="宋体"/>
          <w:szCs w:val="21"/>
        </w:rPr>
        <w:t>，从而可以实现更多</w:t>
      </w:r>
      <w:r w:rsidRPr="002960E0">
        <w:rPr>
          <w:rFonts w:ascii="宋体" w:eastAsia="宋体" w:hAnsi="宋体" w:cs="Times New Roman"/>
          <w:szCs w:val="21"/>
          <w:u w:val="single"/>
        </w:rPr>
        <w:t xml:space="preserve">  </w:t>
      </w:r>
      <w:r w:rsidR="00D665D1">
        <w:rPr>
          <w:rFonts w:ascii="宋体" w:eastAsia="宋体" w:hAnsi="宋体" w:cs="Times New Roman" w:hint="eastAsia"/>
          <w:szCs w:val="21"/>
          <w:u w:val="single"/>
        </w:rPr>
        <w:t xml:space="preserve">           </w:t>
      </w:r>
      <w:r w:rsidRPr="002960E0">
        <w:rPr>
          <w:rFonts w:ascii="宋体" w:eastAsia="宋体" w:hAnsi="宋体" w:cs="Times New Roman"/>
          <w:szCs w:val="21"/>
          <w:u w:val="single"/>
        </w:rPr>
        <w:t xml:space="preserve">  </w:t>
      </w:r>
      <w:r w:rsidRPr="002960E0">
        <w:rPr>
          <w:rFonts w:ascii="宋体" w:eastAsia="宋体" w:hAnsi="宋体"/>
          <w:szCs w:val="21"/>
        </w:rPr>
        <w:t>的合成和插入，导致</w:t>
      </w:r>
      <w:r w:rsidRPr="002960E0">
        <w:rPr>
          <w:rFonts w:ascii="宋体" w:eastAsia="宋体" w:hAnsi="宋体" w:cs="Times New Roman"/>
          <w:szCs w:val="21"/>
          <w:u w:val="single"/>
        </w:rPr>
        <w:t xml:space="preserve">   </w:t>
      </w:r>
      <w:r w:rsidR="00D665D1">
        <w:rPr>
          <w:rFonts w:ascii="宋体" w:eastAsia="宋体" w:hAnsi="宋体" w:cs="Times New Roman" w:hint="eastAsia"/>
          <w:szCs w:val="21"/>
          <w:u w:val="single"/>
        </w:rPr>
        <w:t xml:space="preserve">       </w:t>
      </w:r>
      <w:r w:rsidRPr="002960E0">
        <w:rPr>
          <w:rFonts w:ascii="宋体" w:eastAsia="宋体" w:hAnsi="宋体" w:cs="Times New Roman"/>
          <w:szCs w:val="21"/>
          <w:u w:val="single"/>
        </w:rPr>
        <w:t xml:space="preserve"> </w:t>
      </w:r>
      <w:r w:rsidRPr="002960E0">
        <w:rPr>
          <w:rFonts w:ascii="宋体" w:eastAsia="宋体" w:hAnsi="宋体"/>
          <w:szCs w:val="21"/>
        </w:rPr>
        <w:t>的形成，并可能产生长时记忆。</w:t>
      </w:r>
    </w:p>
    <w:p w14:paraId="651B1B18" w14:textId="2ADD53A1" w:rsidR="00B37FEF" w:rsidRPr="002960E0" w:rsidRDefault="00B37FEF" w:rsidP="00B37FEF">
      <w:pPr>
        <w:spacing w:line="360" w:lineRule="auto"/>
        <w:jc w:val="left"/>
        <w:textAlignment w:val="center"/>
        <w:rPr>
          <w:rFonts w:ascii="宋体" w:eastAsia="宋体" w:hAnsi="宋体" w:hint="eastAsia"/>
          <w:szCs w:val="21"/>
        </w:rPr>
      </w:pPr>
      <w:r w:rsidRPr="002960E0">
        <w:rPr>
          <w:rFonts w:ascii="宋体" w:eastAsia="宋体" w:hAnsi="宋体"/>
          <w:szCs w:val="21"/>
        </w:rPr>
        <w:t>(3)下图A、B分别表示单次高频刺激和有间隔的（间隔几秒）高频刺激引起的突触后膜上的电位变化，据图可以的得出得结论是</w:t>
      </w:r>
      <w:r w:rsidRPr="002960E0">
        <w:rPr>
          <w:rFonts w:ascii="宋体" w:eastAsia="宋体" w:hAnsi="宋体" w:cs="Times New Roman"/>
          <w:szCs w:val="21"/>
          <w:u w:val="single"/>
        </w:rPr>
        <w:t xml:space="preserve">  </w:t>
      </w:r>
      <w:r w:rsidR="005E32C4">
        <w:rPr>
          <w:rFonts w:ascii="宋体" w:eastAsia="宋体" w:hAnsi="宋体" w:cs="Times New Roman" w:hint="eastAsia"/>
          <w:szCs w:val="21"/>
          <w:u w:val="single"/>
        </w:rPr>
        <w:t xml:space="preserve">                                                                            </w:t>
      </w:r>
      <w:r w:rsidRPr="002960E0">
        <w:rPr>
          <w:rFonts w:ascii="宋体" w:eastAsia="宋体" w:hAnsi="宋体" w:cs="Times New Roman"/>
          <w:szCs w:val="21"/>
          <w:u w:val="single"/>
        </w:rPr>
        <w:t xml:space="preserve">  </w:t>
      </w:r>
      <w:r w:rsidRPr="002960E0">
        <w:rPr>
          <w:rFonts w:ascii="宋体" w:eastAsia="宋体" w:hAnsi="宋体"/>
          <w:szCs w:val="21"/>
        </w:rPr>
        <w:t>，这给我们在学习上的启示是</w:t>
      </w:r>
      <w:r w:rsidRPr="002960E0">
        <w:rPr>
          <w:rFonts w:ascii="宋体" w:eastAsia="宋体" w:hAnsi="宋体" w:cs="Times New Roman"/>
          <w:szCs w:val="21"/>
          <w:u w:val="single"/>
        </w:rPr>
        <w:t xml:space="preserve">   </w:t>
      </w:r>
      <w:r w:rsidR="005E32C4">
        <w:rPr>
          <w:rFonts w:ascii="宋体" w:eastAsia="宋体" w:hAnsi="宋体" w:cs="Times New Roman" w:hint="eastAsia"/>
          <w:szCs w:val="21"/>
          <w:u w:val="single"/>
        </w:rPr>
        <w:t xml:space="preserve">                                                                     </w:t>
      </w:r>
      <w:r w:rsidRPr="002960E0">
        <w:rPr>
          <w:rFonts w:ascii="宋体" w:eastAsia="宋体" w:hAnsi="宋体" w:cs="Times New Roman"/>
          <w:szCs w:val="21"/>
          <w:u w:val="single"/>
        </w:rPr>
        <w:t xml:space="preserve"> </w:t>
      </w:r>
      <w:r w:rsidRPr="002960E0">
        <w:rPr>
          <w:rFonts w:ascii="宋体" w:eastAsia="宋体" w:hAnsi="宋体"/>
          <w:szCs w:val="21"/>
        </w:rPr>
        <w:t>。</w:t>
      </w:r>
    </w:p>
    <w:p w14:paraId="106A867C" w14:textId="7DF72361" w:rsidR="00D52CA1" w:rsidRPr="002960E0" w:rsidRDefault="00B37FEF" w:rsidP="003D45BF">
      <w:pPr>
        <w:spacing w:line="360" w:lineRule="auto"/>
        <w:jc w:val="center"/>
        <w:textAlignment w:val="center"/>
        <w:rPr>
          <w:rFonts w:ascii="宋体" w:eastAsia="宋体" w:hAnsi="宋体" w:hint="eastAsia"/>
          <w:szCs w:val="21"/>
        </w:rPr>
      </w:pPr>
      <w:r w:rsidRPr="002960E0">
        <w:rPr>
          <w:rFonts w:ascii="宋体" w:eastAsia="宋体" w:hAnsi="宋体"/>
          <w:noProof/>
          <w:kern w:val="0"/>
          <w:szCs w:val="21"/>
        </w:rPr>
        <w:drawing>
          <wp:inline distT="0" distB="0" distL="0" distR="0" wp14:anchorId="6924673A" wp14:editId="3AC1674B">
            <wp:extent cx="5572125" cy="1483749"/>
            <wp:effectExtent l="0" t="0" r="0" b="2540"/>
            <wp:docPr id="100017" name="图片 100017" descr="@@@2cc3c682-22a7-48f7-8283-8539ec7771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0"/>
                    <a:stretch>
                      <a:fillRect/>
                    </a:stretch>
                  </pic:blipFill>
                  <pic:spPr>
                    <a:xfrm>
                      <a:off x="0" y="0"/>
                      <a:ext cx="5579116" cy="1485610"/>
                    </a:xfrm>
                    <a:prstGeom prst="rect">
                      <a:avLst/>
                    </a:prstGeom>
                  </pic:spPr>
                </pic:pic>
              </a:graphicData>
            </a:graphic>
          </wp:inline>
        </w:drawing>
      </w:r>
    </w:p>
    <w:p w14:paraId="68ABAA4C" w14:textId="3C027988" w:rsidR="00B37FEF" w:rsidRPr="002960E0" w:rsidRDefault="003B1128" w:rsidP="00B37FEF">
      <w:pPr>
        <w:spacing w:line="360" w:lineRule="auto"/>
        <w:jc w:val="left"/>
        <w:textAlignment w:val="center"/>
        <w:rPr>
          <w:rFonts w:ascii="宋体" w:eastAsia="宋体" w:hAnsi="宋体" w:hint="eastAsia"/>
          <w:szCs w:val="21"/>
        </w:rPr>
      </w:pPr>
      <w:r>
        <w:rPr>
          <w:rFonts w:ascii="宋体" w:eastAsia="宋体" w:hAnsi="宋体" w:hint="eastAsia"/>
          <w:szCs w:val="21"/>
        </w:rPr>
        <w:lastRenderedPageBreak/>
        <w:t>2</w:t>
      </w:r>
      <w:r w:rsidR="00B37FEF" w:rsidRPr="002960E0">
        <w:rPr>
          <w:rFonts w:ascii="宋体" w:eastAsia="宋体" w:hAnsi="宋体"/>
          <w:szCs w:val="21"/>
        </w:rPr>
        <w:t>．糖尿病是以多饮、多尿、多食及消瘦、疲乏、尿甜为主要表现的代谢综合征，其发病率呈逐年上升趋势。请回答问题:</w:t>
      </w:r>
    </w:p>
    <w:p w14:paraId="1CB1072B" w14:textId="6E76E46D" w:rsidR="00B37FEF" w:rsidRPr="002960E0" w:rsidRDefault="009C2D4B" w:rsidP="00B37FEF">
      <w:pPr>
        <w:spacing w:line="360" w:lineRule="auto"/>
        <w:jc w:val="left"/>
        <w:textAlignment w:val="center"/>
        <w:rPr>
          <w:rFonts w:ascii="宋体" w:eastAsia="宋体" w:hAnsi="宋体" w:hint="eastAsia"/>
          <w:szCs w:val="21"/>
        </w:rPr>
      </w:pPr>
      <w:r w:rsidRPr="002960E0">
        <w:rPr>
          <w:rFonts w:ascii="宋体" w:eastAsia="宋体" w:hAnsi="宋体"/>
          <w:szCs w:val="21"/>
        </w:rPr>
        <w:t xml:space="preserve"> </w:t>
      </w:r>
      <w:r w:rsidR="00B37FEF" w:rsidRPr="002960E0">
        <w:rPr>
          <w:rFonts w:ascii="宋体" w:eastAsia="宋体" w:hAnsi="宋体"/>
          <w:szCs w:val="21"/>
        </w:rPr>
        <w:t>(1)正常人进食后血糖浓度上升，胰岛素分泌增多。胰岛素可促进血糖进入组织细胞进行</w:t>
      </w:r>
      <w:r w:rsidR="00B37FEF" w:rsidRPr="002960E0">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sidR="00B37FEF" w:rsidRPr="002960E0">
        <w:rPr>
          <w:rFonts w:ascii="宋体" w:eastAsia="宋体" w:hAnsi="宋体" w:cs="Times New Roman"/>
          <w:szCs w:val="21"/>
          <w:u w:val="single"/>
        </w:rPr>
        <w:t xml:space="preserve">  </w:t>
      </w:r>
      <w:r w:rsidR="00B37FEF" w:rsidRPr="002960E0">
        <w:rPr>
          <w:rFonts w:ascii="宋体" w:eastAsia="宋体" w:hAnsi="宋体"/>
          <w:szCs w:val="21"/>
        </w:rPr>
        <w:t>。进入肝、肌细胞并合成糖原，进入脂肪组织细胞转变为</w:t>
      </w:r>
      <w:r w:rsidR="00B37FEF" w:rsidRPr="002960E0">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sidR="00B37FEF" w:rsidRPr="002960E0">
        <w:rPr>
          <w:rFonts w:ascii="宋体" w:eastAsia="宋体" w:hAnsi="宋体" w:cs="Times New Roman"/>
          <w:szCs w:val="21"/>
          <w:u w:val="single"/>
        </w:rPr>
        <w:t xml:space="preserve">   </w:t>
      </w:r>
      <w:r w:rsidR="00B37FEF" w:rsidRPr="002960E0">
        <w:rPr>
          <w:rFonts w:ascii="宋体" w:eastAsia="宋体" w:hAnsi="宋体"/>
          <w:szCs w:val="21"/>
        </w:rPr>
        <w:t>，并抑制</w:t>
      </w:r>
      <w:r w:rsidR="00B37FEF" w:rsidRPr="002960E0">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sidR="00B37FEF" w:rsidRPr="002960E0">
        <w:rPr>
          <w:rFonts w:ascii="宋体" w:eastAsia="宋体" w:hAnsi="宋体" w:cs="Times New Roman"/>
          <w:szCs w:val="21"/>
          <w:u w:val="single"/>
        </w:rPr>
        <w:t xml:space="preserve">   </w:t>
      </w:r>
      <w:r w:rsidR="00B37FEF" w:rsidRPr="002960E0">
        <w:rPr>
          <w:rFonts w:ascii="宋体" w:eastAsia="宋体" w:hAnsi="宋体"/>
          <w:szCs w:val="21"/>
        </w:rPr>
        <w:t>和非糖物质转化为葡萄糖，促使血糖浓度降低。胰岛素的作用效果反过来又会影响胰岛素的分泌，这种调节方式叫</w:t>
      </w:r>
      <w:r w:rsidR="00B37FEF" w:rsidRPr="002960E0">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sidR="00B37FEF" w:rsidRPr="002960E0">
        <w:rPr>
          <w:rFonts w:ascii="宋体" w:eastAsia="宋体" w:hAnsi="宋体" w:cs="Times New Roman"/>
          <w:szCs w:val="21"/>
          <w:u w:val="single"/>
        </w:rPr>
        <w:t xml:space="preserve">    </w:t>
      </w:r>
      <w:r w:rsidR="00B37FEF" w:rsidRPr="002960E0">
        <w:rPr>
          <w:rFonts w:ascii="宋体" w:eastAsia="宋体" w:hAnsi="宋体"/>
          <w:szCs w:val="21"/>
        </w:rPr>
        <w:t>调节。</w:t>
      </w:r>
    </w:p>
    <w:p w14:paraId="659B663A" w14:textId="77777777" w:rsidR="009C2D4B" w:rsidRDefault="00B37FEF" w:rsidP="00B37FEF">
      <w:pPr>
        <w:spacing w:line="360" w:lineRule="auto"/>
        <w:jc w:val="left"/>
        <w:textAlignment w:val="center"/>
        <w:rPr>
          <w:rFonts w:ascii="宋体" w:eastAsia="宋体" w:hAnsi="宋体" w:hint="eastAsia"/>
          <w:szCs w:val="21"/>
        </w:rPr>
      </w:pPr>
      <w:r w:rsidRPr="002960E0">
        <w:rPr>
          <w:rFonts w:ascii="宋体" w:eastAsia="宋体" w:hAnsi="宋体"/>
          <w:szCs w:val="21"/>
        </w:rPr>
        <w:t>(2)据图1分析，当胰岛素与蛋白M结合之后，经过细胞内信号转导，引起</w:t>
      </w:r>
      <w:r w:rsidRPr="002960E0">
        <w:rPr>
          <w:rFonts w:ascii="宋体" w:eastAsia="宋体" w:hAnsi="宋体" w:cs="Times New Roman"/>
          <w:szCs w:val="21"/>
          <w:u w:val="single"/>
        </w:rPr>
        <w:t xml:space="preserve">     </w:t>
      </w:r>
      <w:r w:rsidRPr="002960E0">
        <w:rPr>
          <w:rFonts w:ascii="宋体" w:eastAsia="宋体" w:hAnsi="宋体"/>
          <w:szCs w:val="21"/>
        </w:rPr>
        <w:t>的融合，从而促进葡萄糖以</w:t>
      </w:r>
      <w:r w:rsidRPr="002960E0">
        <w:rPr>
          <w:rFonts w:ascii="宋体" w:eastAsia="宋体" w:hAnsi="宋体" w:cs="Times New Roman"/>
          <w:szCs w:val="21"/>
          <w:u w:val="single"/>
        </w:rPr>
        <w:t xml:space="preserve">    </w:t>
      </w:r>
      <w:r w:rsidRPr="002960E0">
        <w:rPr>
          <w:rFonts w:ascii="宋体" w:eastAsia="宋体" w:hAnsi="宋体"/>
          <w:szCs w:val="21"/>
        </w:rPr>
        <w:t>方式进入组织细胞。</w:t>
      </w:r>
    </w:p>
    <w:p w14:paraId="3D869FE8" w14:textId="5F79FAE7" w:rsidR="00B37FEF" w:rsidRPr="002960E0" w:rsidRDefault="009C2D4B" w:rsidP="009C2D4B">
      <w:pPr>
        <w:spacing w:line="360" w:lineRule="auto"/>
        <w:jc w:val="center"/>
        <w:textAlignment w:val="center"/>
        <w:rPr>
          <w:rFonts w:ascii="宋体" w:eastAsia="宋体" w:hAnsi="宋体" w:hint="eastAsia"/>
          <w:szCs w:val="21"/>
        </w:rPr>
      </w:pPr>
      <w:r w:rsidRPr="002960E0">
        <w:rPr>
          <w:rFonts w:ascii="宋体" w:eastAsia="宋体" w:hAnsi="宋体"/>
          <w:noProof/>
          <w:kern w:val="0"/>
          <w:szCs w:val="21"/>
        </w:rPr>
        <w:drawing>
          <wp:inline distT="0" distB="0" distL="0" distR="0" wp14:anchorId="0DFE89F2" wp14:editId="78FEBBDD">
            <wp:extent cx="2162175" cy="1733550"/>
            <wp:effectExtent l="0" t="0" r="9525" b="0"/>
            <wp:docPr id="100025" name="图片 100025" descr="@@@20e4544e-d428-446d-b722-18d56008d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162175" cy="1733550"/>
                    </a:xfrm>
                    <a:prstGeom prst="rect">
                      <a:avLst/>
                    </a:prstGeom>
                  </pic:spPr>
                </pic:pic>
              </a:graphicData>
            </a:graphic>
          </wp:inline>
        </w:drawing>
      </w:r>
    </w:p>
    <w:p w14:paraId="70B155BB" w14:textId="79A0B8B2" w:rsidR="00B37FEF" w:rsidRPr="002960E0" w:rsidRDefault="00B37FEF" w:rsidP="00B37FEF">
      <w:pPr>
        <w:spacing w:line="360" w:lineRule="auto"/>
        <w:jc w:val="left"/>
        <w:textAlignment w:val="center"/>
        <w:rPr>
          <w:rFonts w:ascii="宋体" w:eastAsia="宋体" w:hAnsi="宋体" w:hint="eastAsia"/>
          <w:szCs w:val="21"/>
        </w:rPr>
      </w:pPr>
      <w:r w:rsidRPr="002960E0">
        <w:rPr>
          <w:rFonts w:ascii="宋体" w:eastAsia="宋体" w:hAnsi="宋体"/>
          <w:szCs w:val="21"/>
        </w:rPr>
        <w:t>(3)2型糖尿病的典型特征是出现胰岛素抵抗，即胰岛素功效</w:t>
      </w:r>
      <w:r w:rsidRPr="002960E0">
        <w:rPr>
          <w:rFonts w:ascii="宋体" w:eastAsia="宋体" w:hAnsi="宋体" w:cs="Times New Roman"/>
          <w:szCs w:val="21"/>
          <w:u w:val="single"/>
        </w:rPr>
        <w:t xml:space="preserve">  </w:t>
      </w:r>
      <w:r w:rsidR="00B56160">
        <w:rPr>
          <w:rFonts w:ascii="宋体" w:eastAsia="宋体" w:hAnsi="宋体" w:cs="Times New Roman" w:hint="eastAsia"/>
          <w:szCs w:val="21"/>
          <w:u w:val="single"/>
        </w:rPr>
        <w:t xml:space="preserve">    </w:t>
      </w:r>
      <w:r w:rsidRPr="002960E0">
        <w:rPr>
          <w:rFonts w:ascii="宋体" w:eastAsia="宋体" w:hAnsi="宋体" w:cs="Times New Roman"/>
          <w:szCs w:val="21"/>
          <w:u w:val="single"/>
        </w:rPr>
        <w:t xml:space="preserve">   </w:t>
      </w:r>
      <w:r w:rsidRPr="002960E0">
        <w:rPr>
          <w:rFonts w:ascii="宋体" w:eastAsia="宋体" w:hAnsi="宋体"/>
          <w:szCs w:val="21"/>
        </w:rPr>
        <w:t>，进而导致血糖水平居高不下，持续的高血糖又进一步刺激胰岛素分泌，形成恶性循环。</w:t>
      </w:r>
    </w:p>
    <w:p w14:paraId="5E32C797" w14:textId="77777777" w:rsidR="00B37FEF" w:rsidRPr="002960E0" w:rsidRDefault="00B37FEF" w:rsidP="00B37FEF">
      <w:pPr>
        <w:spacing w:line="360" w:lineRule="auto"/>
        <w:jc w:val="left"/>
        <w:textAlignment w:val="center"/>
        <w:rPr>
          <w:rFonts w:ascii="宋体" w:eastAsia="宋体" w:hAnsi="宋体" w:hint="eastAsia"/>
          <w:szCs w:val="21"/>
        </w:rPr>
      </w:pPr>
      <w:r w:rsidRPr="002960E0">
        <w:rPr>
          <w:rFonts w:ascii="宋体" w:eastAsia="宋体" w:hAnsi="宋体"/>
          <w:szCs w:val="21"/>
        </w:rPr>
        <w:t>(4)科研人员发现了一种新型血糖调节因子—成纤维细胞生长因子(FGF1)，并利用胰岛素抵抗模型鼠开展了相关研究。实验结果如图2、3所示。</w:t>
      </w:r>
    </w:p>
    <w:p w14:paraId="5D1FD1FB" w14:textId="77777777" w:rsidR="00B37FEF" w:rsidRPr="002960E0" w:rsidRDefault="00B37FEF" w:rsidP="00DB3E36">
      <w:pPr>
        <w:spacing w:line="360" w:lineRule="auto"/>
        <w:jc w:val="center"/>
        <w:textAlignment w:val="center"/>
        <w:rPr>
          <w:rFonts w:ascii="宋体" w:eastAsia="宋体" w:hAnsi="宋体" w:hint="eastAsia"/>
          <w:szCs w:val="21"/>
        </w:rPr>
      </w:pPr>
      <w:r w:rsidRPr="002960E0">
        <w:rPr>
          <w:rFonts w:ascii="宋体" w:eastAsia="宋体" w:hAnsi="宋体"/>
          <w:noProof/>
          <w:kern w:val="0"/>
          <w:szCs w:val="21"/>
        </w:rPr>
        <w:drawing>
          <wp:inline distT="0" distB="0" distL="0" distR="0" wp14:anchorId="7B53101B" wp14:editId="0D20FE3D">
            <wp:extent cx="2901210" cy="1881188"/>
            <wp:effectExtent l="0" t="0" r="0" b="5080"/>
            <wp:docPr id="100027" name="图片 100027" descr="@@@68dedfed-19c8-4b2c-b5c5-04159ed53d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12"/>
                    <a:stretch>
                      <a:fillRect/>
                    </a:stretch>
                  </pic:blipFill>
                  <pic:spPr>
                    <a:xfrm>
                      <a:off x="0" y="0"/>
                      <a:ext cx="2923939" cy="1895926"/>
                    </a:xfrm>
                    <a:prstGeom prst="rect">
                      <a:avLst/>
                    </a:prstGeom>
                  </pic:spPr>
                </pic:pic>
              </a:graphicData>
            </a:graphic>
          </wp:inline>
        </w:drawing>
      </w:r>
      <w:r w:rsidRPr="002960E0">
        <w:rPr>
          <w:rFonts w:ascii="宋体" w:eastAsia="宋体" w:hAnsi="宋体"/>
          <w:noProof/>
          <w:kern w:val="0"/>
          <w:szCs w:val="21"/>
        </w:rPr>
        <w:drawing>
          <wp:inline distT="0" distB="0" distL="0" distR="0" wp14:anchorId="0EC65426" wp14:editId="31B871A8">
            <wp:extent cx="2752728" cy="1657350"/>
            <wp:effectExtent l="0" t="0" r="9525" b="0"/>
            <wp:docPr id="100029" name="图片 100029" descr="@@@bd5cd1b2-9868-41c1-9cca-2c7f75b4a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13"/>
                    <a:stretch>
                      <a:fillRect/>
                    </a:stretch>
                  </pic:blipFill>
                  <pic:spPr>
                    <a:xfrm>
                      <a:off x="0" y="0"/>
                      <a:ext cx="2788003" cy="1678588"/>
                    </a:xfrm>
                    <a:prstGeom prst="rect">
                      <a:avLst/>
                    </a:prstGeom>
                  </pic:spPr>
                </pic:pic>
              </a:graphicData>
            </a:graphic>
          </wp:inline>
        </w:drawing>
      </w:r>
    </w:p>
    <w:p w14:paraId="28C77A21" w14:textId="77777777" w:rsidR="00B37FEF" w:rsidRDefault="00B37FEF" w:rsidP="00B37FEF">
      <w:pPr>
        <w:spacing w:line="360" w:lineRule="auto"/>
        <w:jc w:val="left"/>
        <w:textAlignment w:val="center"/>
        <w:rPr>
          <w:rFonts w:ascii="宋体" w:eastAsia="宋体" w:hAnsi="宋体" w:hint="eastAsia"/>
          <w:szCs w:val="21"/>
        </w:rPr>
      </w:pPr>
      <w:r w:rsidRPr="002960E0">
        <w:rPr>
          <w:rFonts w:ascii="宋体" w:eastAsia="宋体" w:hAnsi="宋体"/>
          <w:szCs w:val="21"/>
        </w:rPr>
        <w:t>①图2的实验结果说明</w:t>
      </w:r>
      <w:r w:rsidRPr="002960E0">
        <w:rPr>
          <w:rFonts w:ascii="宋体" w:eastAsia="宋体" w:hAnsi="宋体" w:cs="Times New Roman"/>
          <w:szCs w:val="21"/>
          <w:u w:val="single"/>
        </w:rPr>
        <w:t xml:space="preserve">     </w:t>
      </w:r>
      <w:r w:rsidRPr="002960E0">
        <w:rPr>
          <w:rFonts w:ascii="宋体" w:eastAsia="宋体" w:hAnsi="宋体"/>
          <w:szCs w:val="21"/>
        </w:rPr>
        <w:t>。</w:t>
      </w:r>
    </w:p>
    <w:p w14:paraId="3E23BF01" w14:textId="77777777" w:rsidR="001D3E45" w:rsidRPr="002960E0" w:rsidRDefault="001D3E45" w:rsidP="00B37FEF">
      <w:pPr>
        <w:spacing w:line="360" w:lineRule="auto"/>
        <w:jc w:val="left"/>
        <w:textAlignment w:val="center"/>
        <w:rPr>
          <w:rFonts w:ascii="宋体" w:eastAsia="宋体" w:hAnsi="宋体" w:hint="eastAsia"/>
          <w:szCs w:val="21"/>
        </w:rPr>
      </w:pPr>
    </w:p>
    <w:p w14:paraId="07A505B4" w14:textId="7C635304" w:rsidR="00B37FEF" w:rsidRDefault="00B37FEF" w:rsidP="00B37FEF">
      <w:pPr>
        <w:spacing w:line="360" w:lineRule="auto"/>
        <w:jc w:val="left"/>
        <w:textAlignment w:val="center"/>
        <w:rPr>
          <w:rFonts w:ascii="宋体" w:eastAsia="宋体" w:hAnsi="宋体" w:hint="eastAsia"/>
          <w:szCs w:val="21"/>
        </w:rPr>
      </w:pPr>
      <w:r w:rsidRPr="002960E0">
        <w:rPr>
          <w:rFonts w:ascii="宋体" w:eastAsia="宋体" w:hAnsi="宋体"/>
          <w:szCs w:val="21"/>
        </w:rPr>
        <w:t>②根据图2与图3可以得出的结论为FGF1可改善胰岛素抵抗，得出该结论的依据是</w:t>
      </w:r>
      <w:r w:rsidRPr="002960E0">
        <w:rPr>
          <w:rFonts w:ascii="宋体" w:eastAsia="宋体" w:hAnsi="宋体" w:cs="Times New Roman"/>
          <w:szCs w:val="21"/>
          <w:u w:val="single"/>
        </w:rPr>
        <w:t xml:space="preserve">     </w:t>
      </w:r>
      <w:r w:rsidRPr="002960E0">
        <w:rPr>
          <w:rFonts w:ascii="宋体" w:eastAsia="宋体" w:hAnsi="宋体"/>
          <w:szCs w:val="21"/>
        </w:rPr>
        <w:t>。</w:t>
      </w:r>
      <w:r w:rsidR="001D3E45">
        <w:rPr>
          <w:rFonts w:ascii="宋体" w:eastAsia="宋体" w:hAnsi="宋体" w:hint="eastAsia"/>
          <w:szCs w:val="21"/>
        </w:rPr>
        <w:t xml:space="preserve"> </w:t>
      </w:r>
    </w:p>
    <w:p w14:paraId="5C7D7C78" w14:textId="77777777" w:rsidR="001D3E45" w:rsidRPr="002960E0" w:rsidRDefault="001D3E45" w:rsidP="00B37FEF">
      <w:pPr>
        <w:spacing w:line="360" w:lineRule="auto"/>
        <w:jc w:val="left"/>
        <w:textAlignment w:val="center"/>
        <w:rPr>
          <w:rFonts w:ascii="宋体" w:eastAsia="宋体" w:hAnsi="宋体" w:hint="eastAsia"/>
          <w:szCs w:val="21"/>
        </w:rPr>
      </w:pPr>
    </w:p>
    <w:p w14:paraId="60D88954" w14:textId="77777777" w:rsidR="00B37FEF" w:rsidRPr="002960E0" w:rsidRDefault="00B37FEF" w:rsidP="00B37FEF">
      <w:pPr>
        <w:spacing w:line="360" w:lineRule="auto"/>
        <w:jc w:val="left"/>
        <w:textAlignment w:val="center"/>
        <w:rPr>
          <w:rFonts w:ascii="宋体" w:eastAsia="宋体" w:hAnsi="宋体" w:hint="eastAsia"/>
          <w:szCs w:val="21"/>
        </w:rPr>
      </w:pPr>
      <w:r w:rsidRPr="002960E0">
        <w:rPr>
          <w:rFonts w:ascii="宋体" w:eastAsia="宋体" w:hAnsi="宋体"/>
          <w:szCs w:val="21"/>
        </w:rPr>
        <w:t>(5)综合上述信息，请推测FGF1改善胰岛素抵抗的可能机制</w:t>
      </w:r>
      <w:r w:rsidRPr="002960E0">
        <w:rPr>
          <w:rFonts w:ascii="宋体" w:eastAsia="宋体" w:hAnsi="宋体" w:cs="Times New Roman"/>
          <w:szCs w:val="21"/>
          <w:u w:val="single"/>
        </w:rPr>
        <w:t xml:space="preserve">     </w:t>
      </w:r>
      <w:r w:rsidRPr="002960E0">
        <w:rPr>
          <w:rFonts w:ascii="宋体" w:eastAsia="宋体" w:hAnsi="宋体"/>
          <w:szCs w:val="21"/>
        </w:rPr>
        <w:t>。</w:t>
      </w:r>
    </w:p>
    <w:p w14:paraId="47A1541A" w14:textId="77777777" w:rsidR="009C2D4B" w:rsidRDefault="009C2D4B" w:rsidP="00DB3E36">
      <w:pPr>
        <w:spacing w:line="360" w:lineRule="auto"/>
        <w:jc w:val="left"/>
        <w:textAlignment w:val="center"/>
        <w:rPr>
          <w:rFonts w:ascii="宋体" w:eastAsia="宋体" w:hAnsi="宋体" w:hint="eastAsia"/>
          <w:szCs w:val="21"/>
        </w:rPr>
      </w:pPr>
    </w:p>
    <w:p w14:paraId="164476CC" w14:textId="4CB553C7" w:rsidR="00C4464D" w:rsidRDefault="00C4464D" w:rsidP="008D04D6">
      <w:pPr>
        <w:rPr>
          <w:rFonts w:ascii="宋体" w:eastAsia="宋体" w:hAnsi="宋体" w:cs="Times New Roman" w:hint="eastAsia"/>
          <w:b/>
          <w:bCs/>
          <w:szCs w:val="21"/>
        </w:rPr>
      </w:pPr>
      <w:r w:rsidRPr="002960E0">
        <w:rPr>
          <w:rFonts w:ascii="宋体" w:eastAsia="宋体" w:hAnsi="宋体" w:cs="Times New Roman" w:hint="eastAsia"/>
          <w:b/>
          <w:bCs/>
          <w:szCs w:val="21"/>
        </w:rPr>
        <w:lastRenderedPageBreak/>
        <w:t>【拓展延伸】</w:t>
      </w:r>
    </w:p>
    <w:p w14:paraId="5E4B5E26" w14:textId="77777777" w:rsidR="00EC68FF" w:rsidRDefault="009C2D4B" w:rsidP="009C2D4B">
      <w:pPr>
        <w:spacing w:line="360" w:lineRule="auto"/>
        <w:jc w:val="left"/>
        <w:textAlignment w:val="center"/>
        <w:rPr>
          <w:rFonts w:ascii="宋体" w:eastAsia="宋体" w:hAnsi="宋体" w:hint="eastAsia"/>
          <w:szCs w:val="21"/>
        </w:rPr>
      </w:pPr>
      <w:r w:rsidRPr="002960E0">
        <w:rPr>
          <w:rFonts w:ascii="宋体" w:eastAsia="宋体" w:hAnsi="宋体"/>
          <w:szCs w:val="21"/>
        </w:rPr>
        <w:t>关于抑郁症发病机制有两种假说：单胺类递质假说认为是大脑内神经递质5-羟色胺(5-HT)缺乏；神经内分泌假说认为与下丘脑-垂体-肾上腺轴(HPA轴)过度激活有关。图1是5-HT在突触间隙发挥作用以及再摄取示意图；图2是HPA轴及相关激素示意图，字母代表物质、数字代表过程。请回答：</w:t>
      </w:r>
    </w:p>
    <w:p w14:paraId="333CD892" w14:textId="76F2DE69" w:rsidR="009C2D4B" w:rsidRPr="002960E0" w:rsidRDefault="00EC68FF" w:rsidP="00EC68FF">
      <w:pPr>
        <w:spacing w:line="360" w:lineRule="auto"/>
        <w:jc w:val="center"/>
        <w:textAlignment w:val="center"/>
        <w:rPr>
          <w:rFonts w:ascii="宋体" w:eastAsia="宋体" w:hAnsi="宋体" w:hint="eastAsia"/>
          <w:szCs w:val="21"/>
        </w:rPr>
      </w:pPr>
      <w:r w:rsidRPr="002960E0">
        <w:rPr>
          <w:rFonts w:ascii="宋体" w:eastAsia="宋体" w:hAnsi="宋体"/>
          <w:noProof/>
          <w:kern w:val="0"/>
          <w:szCs w:val="21"/>
        </w:rPr>
        <w:drawing>
          <wp:inline distT="0" distB="0" distL="0" distR="0" wp14:anchorId="1C1042FF" wp14:editId="13F5CC7B">
            <wp:extent cx="3638550" cy="2040308"/>
            <wp:effectExtent l="0" t="0" r="0" b="0"/>
            <wp:docPr id="100021" name="图片 100021" descr="@@@844ebdfb-69ec-42ef-9648-7d25517055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646766" cy="2044915"/>
                    </a:xfrm>
                    <a:prstGeom prst="rect">
                      <a:avLst/>
                    </a:prstGeom>
                  </pic:spPr>
                </pic:pic>
              </a:graphicData>
            </a:graphic>
          </wp:inline>
        </w:drawing>
      </w:r>
    </w:p>
    <w:p w14:paraId="404D1E93" w14:textId="67E68ADA" w:rsidR="009C2D4B" w:rsidRPr="002960E0" w:rsidRDefault="009C2D4B" w:rsidP="009C2D4B">
      <w:pPr>
        <w:spacing w:line="360" w:lineRule="auto"/>
        <w:jc w:val="left"/>
        <w:textAlignment w:val="center"/>
        <w:rPr>
          <w:rFonts w:ascii="宋体" w:eastAsia="宋体" w:hAnsi="宋体" w:hint="eastAsia"/>
          <w:szCs w:val="21"/>
        </w:rPr>
      </w:pPr>
      <w:r w:rsidRPr="002960E0">
        <w:rPr>
          <w:rFonts w:ascii="宋体" w:eastAsia="宋体" w:hAnsi="宋体"/>
          <w:szCs w:val="21"/>
        </w:rPr>
        <w:t>(1)据图1可知，当兴奋传导到轴突末梢时，Ca</w:t>
      </w:r>
      <w:r w:rsidRPr="002960E0">
        <w:rPr>
          <w:rFonts w:ascii="宋体" w:eastAsia="宋体" w:hAnsi="宋体"/>
          <w:szCs w:val="21"/>
          <w:vertAlign w:val="superscript"/>
        </w:rPr>
        <w:t>2+</w:t>
      </w:r>
      <w:r w:rsidRPr="002960E0">
        <w:rPr>
          <w:rFonts w:ascii="宋体" w:eastAsia="宋体" w:hAnsi="宋体"/>
          <w:szCs w:val="21"/>
        </w:rPr>
        <w:t>由电压敏感钙通道以</w:t>
      </w:r>
      <w:r w:rsidRPr="002960E0">
        <w:rPr>
          <w:rFonts w:ascii="宋体" w:eastAsia="宋体" w:hAnsi="宋体" w:cs="Times New Roman"/>
          <w:szCs w:val="21"/>
          <w:u w:val="single"/>
        </w:rPr>
        <w:t xml:space="preserve">   </w:t>
      </w:r>
      <w:r w:rsidR="00EC68FF">
        <w:rPr>
          <w:rFonts w:ascii="宋体" w:eastAsia="宋体" w:hAnsi="宋体" w:cs="Times New Roman" w:hint="eastAsia"/>
          <w:szCs w:val="21"/>
          <w:u w:val="single"/>
        </w:rPr>
        <w:t xml:space="preserve">      </w:t>
      </w:r>
      <w:r w:rsidRPr="002960E0">
        <w:rPr>
          <w:rFonts w:ascii="宋体" w:eastAsia="宋体" w:hAnsi="宋体" w:cs="Times New Roman"/>
          <w:szCs w:val="21"/>
          <w:u w:val="single"/>
        </w:rPr>
        <w:t xml:space="preserve">    </w:t>
      </w:r>
      <w:r w:rsidRPr="002960E0">
        <w:rPr>
          <w:rFonts w:ascii="宋体" w:eastAsia="宋体" w:hAnsi="宋体"/>
          <w:szCs w:val="21"/>
        </w:rPr>
        <w:t>方式进入细胞，促进5-HT由突触前膜释放，5-HT与突触后膜上的受体结合引起</w:t>
      </w:r>
      <w:r w:rsidRPr="002960E0">
        <w:rPr>
          <w:rFonts w:ascii="宋体" w:eastAsia="宋体" w:hAnsi="宋体" w:cs="Times New Roman"/>
          <w:szCs w:val="21"/>
          <w:u w:val="single"/>
        </w:rPr>
        <w:t xml:space="preserve">    </w:t>
      </w:r>
      <w:r w:rsidR="00CC0156">
        <w:rPr>
          <w:rFonts w:ascii="宋体" w:eastAsia="宋体" w:hAnsi="宋体" w:cs="Times New Roman" w:hint="eastAsia"/>
          <w:szCs w:val="21"/>
          <w:u w:val="single"/>
        </w:rPr>
        <w:t xml:space="preserve">                    </w:t>
      </w:r>
      <w:r w:rsidR="002B76EC">
        <w:rPr>
          <w:rFonts w:ascii="宋体" w:eastAsia="宋体" w:hAnsi="宋体" w:cs="Times New Roman" w:hint="eastAsia"/>
          <w:szCs w:val="21"/>
          <w:u w:val="single"/>
        </w:rPr>
        <w:t xml:space="preserve">  </w:t>
      </w:r>
      <w:r w:rsidR="00CC0156">
        <w:rPr>
          <w:rFonts w:ascii="宋体" w:eastAsia="宋体" w:hAnsi="宋体" w:cs="Times New Roman" w:hint="eastAsia"/>
          <w:szCs w:val="21"/>
          <w:u w:val="single"/>
        </w:rPr>
        <w:t xml:space="preserve">  </w:t>
      </w:r>
      <w:r w:rsidRPr="002960E0">
        <w:rPr>
          <w:rFonts w:ascii="宋体" w:eastAsia="宋体" w:hAnsi="宋体" w:cs="Times New Roman"/>
          <w:szCs w:val="21"/>
          <w:u w:val="single"/>
        </w:rPr>
        <w:t xml:space="preserve">   </w:t>
      </w:r>
      <w:r w:rsidRPr="002960E0">
        <w:rPr>
          <w:rFonts w:ascii="宋体" w:eastAsia="宋体" w:hAnsi="宋体"/>
          <w:szCs w:val="21"/>
        </w:rPr>
        <w:t>，进而引起突触后膜兴奋。</w:t>
      </w:r>
    </w:p>
    <w:p w14:paraId="6E302517" w14:textId="440D61AB" w:rsidR="002318A6" w:rsidRPr="002318A6" w:rsidRDefault="009C2D4B" w:rsidP="009C2D4B">
      <w:pPr>
        <w:spacing w:line="360" w:lineRule="auto"/>
        <w:jc w:val="left"/>
        <w:textAlignment w:val="center"/>
        <w:rPr>
          <w:rFonts w:ascii="宋体" w:eastAsia="宋体" w:hAnsi="宋体" w:hint="eastAsia"/>
          <w:szCs w:val="21"/>
        </w:rPr>
      </w:pPr>
      <w:r w:rsidRPr="002960E0">
        <w:rPr>
          <w:rFonts w:ascii="宋体" w:eastAsia="宋体" w:hAnsi="宋体"/>
          <w:szCs w:val="21"/>
        </w:rPr>
        <w:t>(2)5-HT发挥作用后被5-HT转运体重新转移到细胞内的去向有</w:t>
      </w:r>
      <w:r w:rsidRPr="002960E0">
        <w:rPr>
          <w:rFonts w:ascii="宋体" w:eastAsia="宋体" w:hAnsi="宋体" w:cs="Times New Roman"/>
          <w:szCs w:val="21"/>
          <w:u w:val="single"/>
        </w:rPr>
        <w:t xml:space="preserve">   </w:t>
      </w:r>
      <w:r w:rsidR="002318A6">
        <w:rPr>
          <w:rFonts w:ascii="宋体" w:eastAsia="宋体" w:hAnsi="宋体" w:cs="Times New Roman" w:hint="eastAsia"/>
          <w:szCs w:val="21"/>
          <w:u w:val="single"/>
        </w:rPr>
        <w:t xml:space="preserve">                                    </w:t>
      </w:r>
      <w:r w:rsidRPr="002960E0">
        <w:rPr>
          <w:rFonts w:ascii="宋体" w:eastAsia="宋体" w:hAnsi="宋体" w:cs="Times New Roman"/>
          <w:szCs w:val="21"/>
          <w:u w:val="single"/>
        </w:rPr>
        <w:t xml:space="preserve">    </w:t>
      </w:r>
      <w:r w:rsidRPr="002960E0">
        <w:rPr>
          <w:rFonts w:ascii="宋体" w:eastAsia="宋体" w:hAnsi="宋体"/>
          <w:szCs w:val="21"/>
        </w:rPr>
        <w:t>；当突触间隙5-HT含量过多时其与突触前受体结合通过过程③抑制5-HT的释放，意义是</w:t>
      </w:r>
      <w:r w:rsidRPr="002960E0">
        <w:rPr>
          <w:rFonts w:ascii="宋体" w:eastAsia="宋体" w:hAnsi="宋体" w:cs="Times New Roman"/>
          <w:szCs w:val="21"/>
          <w:u w:val="single"/>
        </w:rPr>
        <w:t xml:space="preserve">       </w:t>
      </w:r>
      <w:r w:rsidRPr="002960E0">
        <w:rPr>
          <w:rFonts w:ascii="宋体" w:eastAsia="宋体" w:hAnsi="宋体"/>
          <w:szCs w:val="21"/>
        </w:rPr>
        <w:t>。</w:t>
      </w:r>
    </w:p>
    <w:p w14:paraId="6F568429" w14:textId="4EE46D1D" w:rsidR="009C2D4B" w:rsidRPr="002960E0" w:rsidRDefault="009C2D4B" w:rsidP="009C2D4B">
      <w:pPr>
        <w:spacing w:line="360" w:lineRule="auto"/>
        <w:jc w:val="left"/>
        <w:textAlignment w:val="center"/>
        <w:rPr>
          <w:rFonts w:ascii="宋体" w:eastAsia="宋体" w:hAnsi="宋体" w:hint="eastAsia"/>
          <w:szCs w:val="21"/>
        </w:rPr>
      </w:pPr>
      <w:r w:rsidRPr="002960E0">
        <w:rPr>
          <w:rFonts w:ascii="宋体" w:eastAsia="宋体" w:hAnsi="宋体"/>
          <w:szCs w:val="21"/>
        </w:rPr>
        <w:t>(3)图2中HPA轴过度激活可能是过程④和⑤所示的</w:t>
      </w:r>
      <w:r w:rsidRPr="002960E0">
        <w:rPr>
          <w:rFonts w:ascii="宋体" w:eastAsia="宋体" w:hAnsi="宋体" w:cs="Times New Roman"/>
          <w:szCs w:val="21"/>
          <w:u w:val="single"/>
        </w:rPr>
        <w:t xml:space="preserve">     </w:t>
      </w:r>
      <w:r w:rsidR="002B09A2">
        <w:rPr>
          <w:rFonts w:ascii="宋体" w:eastAsia="宋体" w:hAnsi="宋体" w:cs="Times New Roman" w:hint="eastAsia"/>
          <w:szCs w:val="21"/>
          <w:u w:val="single"/>
        </w:rPr>
        <w:t xml:space="preserve">     </w:t>
      </w:r>
      <w:r w:rsidRPr="002960E0">
        <w:rPr>
          <w:rFonts w:ascii="宋体" w:eastAsia="宋体" w:hAnsi="宋体" w:cs="Times New Roman"/>
          <w:szCs w:val="21"/>
          <w:u w:val="single"/>
        </w:rPr>
        <w:t xml:space="preserve">  </w:t>
      </w:r>
      <w:r w:rsidRPr="002960E0">
        <w:rPr>
          <w:rFonts w:ascii="宋体" w:eastAsia="宋体" w:hAnsi="宋体"/>
          <w:szCs w:val="21"/>
        </w:rPr>
        <w:t>调节出现障碍。</w:t>
      </w:r>
    </w:p>
    <w:p w14:paraId="65191B0B" w14:textId="36A23919" w:rsidR="009C2D4B" w:rsidRPr="002960E0" w:rsidRDefault="009C2D4B" w:rsidP="009C2D4B">
      <w:pPr>
        <w:spacing w:line="360" w:lineRule="auto"/>
        <w:jc w:val="left"/>
        <w:textAlignment w:val="center"/>
        <w:rPr>
          <w:rFonts w:ascii="宋体" w:eastAsia="宋体" w:hAnsi="宋体" w:hint="eastAsia"/>
          <w:szCs w:val="21"/>
        </w:rPr>
      </w:pPr>
      <w:r w:rsidRPr="002960E0">
        <w:rPr>
          <w:rFonts w:ascii="宋体" w:eastAsia="宋体" w:hAnsi="宋体"/>
          <w:szCs w:val="21"/>
        </w:rPr>
        <w:t>(4)根据上述假说，可以研发一些5-HT水解酶和5-HT转运体的</w:t>
      </w:r>
      <w:r w:rsidRPr="002960E0">
        <w:rPr>
          <w:rFonts w:ascii="宋体" w:eastAsia="宋体" w:hAnsi="宋体" w:cs="Times New Roman"/>
          <w:szCs w:val="21"/>
          <w:u w:val="single"/>
        </w:rPr>
        <w:t xml:space="preserve">    </w:t>
      </w:r>
      <w:r w:rsidR="008037C8">
        <w:rPr>
          <w:rFonts w:ascii="宋体" w:eastAsia="宋体" w:hAnsi="宋体" w:cs="Times New Roman" w:hint="eastAsia"/>
          <w:szCs w:val="21"/>
          <w:u w:val="single"/>
        </w:rPr>
        <w:t xml:space="preserve">       </w:t>
      </w:r>
      <w:r w:rsidRPr="002960E0">
        <w:rPr>
          <w:rFonts w:ascii="宋体" w:eastAsia="宋体" w:hAnsi="宋体" w:cs="Times New Roman"/>
          <w:szCs w:val="21"/>
          <w:u w:val="single"/>
        </w:rPr>
        <w:t xml:space="preserve">   </w:t>
      </w:r>
      <w:r w:rsidRPr="002960E0">
        <w:rPr>
          <w:rFonts w:ascii="宋体" w:eastAsia="宋体" w:hAnsi="宋体"/>
          <w:szCs w:val="21"/>
        </w:rPr>
        <w:t>(促进剂或抑制剂)来治疗抑郁症。</w:t>
      </w:r>
    </w:p>
    <w:p w14:paraId="0F2F6278" w14:textId="77777777" w:rsidR="009C2D4B" w:rsidRPr="002960E0" w:rsidRDefault="009C2D4B" w:rsidP="009C2D4B">
      <w:pPr>
        <w:spacing w:line="360" w:lineRule="auto"/>
        <w:jc w:val="left"/>
        <w:textAlignment w:val="center"/>
        <w:rPr>
          <w:rFonts w:ascii="宋体" w:eastAsia="宋体" w:hAnsi="宋体" w:hint="eastAsia"/>
          <w:szCs w:val="21"/>
        </w:rPr>
      </w:pPr>
      <w:r w:rsidRPr="002960E0">
        <w:rPr>
          <w:rFonts w:ascii="宋体" w:eastAsia="宋体" w:hAnsi="宋体"/>
          <w:szCs w:val="21"/>
        </w:rPr>
        <w:t>(5)科研人员研究了有氧运动(跑速15m/min，30min/d，每周运动三天)对HPA轴过度激活型抑郁症大鼠的影响，已知氟西汀为常见的抗抑郁的药物，请完成下列表格：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552"/>
        <w:gridCol w:w="8898"/>
      </w:tblGrid>
      <w:tr w:rsidR="009C2D4B" w:rsidRPr="002960E0" w14:paraId="7A2D0AE7" w14:textId="77777777" w:rsidTr="002470B9">
        <w:tc>
          <w:tcPr>
            <w:tcW w:w="155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7E15788" w14:textId="77777777" w:rsidR="009C2D4B" w:rsidRPr="002960E0" w:rsidRDefault="009C2D4B" w:rsidP="002470B9">
            <w:pPr>
              <w:spacing w:line="360" w:lineRule="auto"/>
              <w:jc w:val="left"/>
              <w:textAlignment w:val="center"/>
              <w:rPr>
                <w:rFonts w:ascii="宋体" w:eastAsia="宋体" w:hAnsi="宋体" w:hint="eastAsia"/>
                <w:szCs w:val="21"/>
              </w:rPr>
            </w:pPr>
            <w:r w:rsidRPr="002960E0">
              <w:rPr>
                <w:rFonts w:ascii="宋体" w:eastAsia="宋体" w:hAnsi="宋体"/>
                <w:szCs w:val="21"/>
              </w:rPr>
              <w:t>实验步骤</w:t>
            </w:r>
          </w:p>
        </w:tc>
        <w:tc>
          <w:tcPr>
            <w:tcW w:w="889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AE7D041" w14:textId="77777777" w:rsidR="009C2D4B" w:rsidRPr="002960E0" w:rsidRDefault="009C2D4B" w:rsidP="002470B9">
            <w:pPr>
              <w:spacing w:line="360" w:lineRule="auto"/>
              <w:jc w:val="left"/>
              <w:textAlignment w:val="center"/>
              <w:rPr>
                <w:rFonts w:ascii="宋体" w:eastAsia="宋体" w:hAnsi="宋体" w:hint="eastAsia"/>
                <w:szCs w:val="21"/>
              </w:rPr>
            </w:pPr>
            <w:r w:rsidRPr="002960E0">
              <w:rPr>
                <w:rFonts w:ascii="宋体" w:eastAsia="宋体" w:hAnsi="宋体"/>
                <w:szCs w:val="21"/>
              </w:rPr>
              <w:t>实验步骤要点</w:t>
            </w:r>
          </w:p>
        </w:tc>
      </w:tr>
      <w:tr w:rsidR="009C2D4B" w:rsidRPr="002960E0" w14:paraId="0BED237C" w14:textId="77777777" w:rsidTr="002470B9">
        <w:tc>
          <w:tcPr>
            <w:tcW w:w="155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D083016" w14:textId="0B7FFA02" w:rsidR="009C2D4B" w:rsidRPr="002960E0" w:rsidRDefault="009C2D4B" w:rsidP="002470B9">
            <w:pPr>
              <w:spacing w:line="360" w:lineRule="auto"/>
              <w:jc w:val="left"/>
              <w:textAlignment w:val="center"/>
              <w:rPr>
                <w:rFonts w:ascii="宋体" w:eastAsia="宋体" w:hAnsi="宋体" w:hint="eastAsia"/>
                <w:szCs w:val="21"/>
              </w:rPr>
            </w:pPr>
            <w:r w:rsidRPr="002960E0">
              <w:rPr>
                <w:rFonts w:ascii="宋体" w:eastAsia="宋体" w:hAnsi="宋体" w:cs="Times New Roman"/>
                <w:szCs w:val="21"/>
                <w:u w:val="single"/>
              </w:rPr>
              <w:t xml:space="preserve"> </w:t>
            </w:r>
            <w:r w:rsidR="00441117">
              <w:rPr>
                <w:rFonts w:ascii="宋体" w:eastAsia="宋体" w:hAnsi="宋体" w:cs="Times New Roman" w:hint="eastAsia"/>
                <w:szCs w:val="21"/>
                <w:u w:val="single"/>
              </w:rPr>
              <w:t xml:space="preserve">          </w:t>
            </w:r>
            <w:r w:rsidRPr="002960E0">
              <w:rPr>
                <w:rFonts w:ascii="宋体" w:eastAsia="宋体" w:hAnsi="宋体" w:cs="Times New Roman"/>
                <w:szCs w:val="21"/>
                <w:u w:val="single"/>
              </w:rPr>
              <w:t xml:space="preserve"> </w:t>
            </w:r>
          </w:p>
        </w:tc>
        <w:tc>
          <w:tcPr>
            <w:tcW w:w="889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E2992B0" w14:textId="77777777" w:rsidR="009C2D4B" w:rsidRPr="002960E0" w:rsidRDefault="009C2D4B" w:rsidP="002470B9">
            <w:pPr>
              <w:spacing w:line="360" w:lineRule="auto"/>
              <w:jc w:val="left"/>
              <w:textAlignment w:val="center"/>
              <w:rPr>
                <w:rFonts w:ascii="宋体" w:eastAsia="宋体" w:hAnsi="宋体" w:hint="eastAsia"/>
                <w:szCs w:val="21"/>
              </w:rPr>
            </w:pPr>
            <w:r w:rsidRPr="002960E0">
              <w:rPr>
                <w:rFonts w:ascii="宋体" w:eastAsia="宋体" w:hAnsi="宋体"/>
                <w:szCs w:val="21"/>
              </w:rPr>
              <w:t>将40只8周龄雄性大鼠注射等量的肾上腺皮质激素，使其表现出抑郁症状。</w:t>
            </w:r>
          </w:p>
        </w:tc>
      </w:tr>
      <w:tr w:rsidR="009C2D4B" w:rsidRPr="002960E0" w14:paraId="124CFF19" w14:textId="77777777" w:rsidTr="002470B9">
        <w:tc>
          <w:tcPr>
            <w:tcW w:w="155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37712B5" w14:textId="77777777" w:rsidR="009C2D4B" w:rsidRPr="002960E0" w:rsidRDefault="009C2D4B" w:rsidP="002470B9">
            <w:pPr>
              <w:spacing w:line="360" w:lineRule="auto"/>
              <w:jc w:val="left"/>
              <w:textAlignment w:val="center"/>
              <w:rPr>
                <w:rFonts w:ascii="宋体" w:eastAsia="宋体" w:hAnsi="宋体" w:hint="eastAsia"/>
                <w:szCs w:val="21"/>
              </w:rPr>
            </w:pPr>
            <w:r w:rsidRPr="002960E0">
              <w:rPr>
                <w:rFonts w:ascii="宋体" w:eastAsia="宋体" w:hAnsi="宋体"/>
                <w:szCs w:val="21"/>
              </w:rPr>
              <w:t>适应性培养</w:t>
            </w:r>
          </w:p>
        </w:tc>
        <w:tc>
          <w:tcPr>
            <w:tcW w:w="889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A15683F" w14:textId="77777777" w:rsidR="009C2D4B" w:rsidRPr="002960E0" w:rsidRDefault="009C2D4B" w:rsidP="002470B9">
            <w:pPr>
              <w:spacing w:line="360" w:lineRule="auto"/>
              <w:jc w:val="left"/>
              <w:textAlignment w:val="center"/>
              <w:rPr>
                <w:rFonts w:ascii="宋体" w:eastAsia="宋体" w:hAnsi="宋体" w:hint="eastAsia"/>
                <w:szCs w:val="21"/>
              </w:rPr>
            </w:pPr>
            <w:r w:rsidRPr="002960E0">
              <w:rPr>
                <w:rFonts w:ascii="宋体" w:eastAsia="宋体" w:hAnsi="宋体"/>
                <w:szCs w:val="21"/>
              </w:rPr>
              <w:t>另取10只健康大鼠与抑郁症模型鼠一起在相同且适宜的环境条件下培养一周。</w:t>
            </w:r>
          </w:p>
        </w:tc>
      </w:tr>
      <w:tr w:rsidR="009C2D4B" w:rsidRPr="002960E0" w14:paraId="2F83D41C" w14:textId="77777777" w:rsidTr="002470B9">
        <w:tc>
          <w:tcPr>
            <w:tcW w:w="155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EE31D20" w14:textId="77777777" w:rsidR="009C2D4B" w:rsidRPr="002960E0" w:rsidRDefault="009C2D4B" w:rsidP="002470B9">
            <w:pPr>
              <w:spacing w:line="360" w:lineRule="auto"/>
              <w:jc w:val="left"/>
              <w:textAlignment w:val="center"/>
              <w:rPr>
                <w:rFonts w:ascii="宋体" w:eastAsia="宋体" w:hAnsi="宋体" w:hint="eastAsia"/>
                <w:szCs w:val="21"/>
              </w:rPr>
            </w:pPr>
            <w:r w:rsidRPr="002960E0">
              <w:rPr>
                <w:rFonts w:ascii="宋体" w:eastAsia="宋体" w:hAnsi="宋体"/>
                <w:szCs w:val="21"/>
              </w:rPr>
              <w:t>实验分组</w:t>
            </w:r>
          </w:p>
        </w:tc>
        <w:tc>
          <w:tcPr>
            <w:tcW w:w="889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8D37573" w14:textId="77777777" w:rsidR="00441117" w:rsidRDefault="009C2D4B" w:rsidP="002470B9">
            <w:pPr>
              <w:spacing w:line="360" w:lineRule="auto"/>
              <w:jc w:val="left"/>
              <w:textAlignment w:val="center"/>
              <w:rPr>
                <w:rFonts w:ascii="宋体" w:eastAsia="宋体" w:hAnsi="宋体" w:hint="eastAsia"/>
                <w:szCs w:val="21"/>
              </w:rPr>
            </w:pPr>
            <w:r w:rsidRPr="002960E0">
              <w:rPr>
                <w:rFonts w:ascii="宋体" w:eastAsia="宋体" w:hAnsi="宋体"/>
                <w:szCs w:val="21"/>
              </w:rPr>
              <w:t>将上述大鼠分为5组：甲组为正常对照组，乙组为抑郁对照组，丙组为运动干预组，丁组</w:t>
            </w:r>
          </w:p>
          <w:p w14:paraId="59E1338F" w14:textId="2906E77F" w:rsidR="009C2D4B" w:rsidRPr="002960E0" w:rsidRDefault="009C2D4B" w:rsidP="002470B9">
            <w:pPr>
              <w:spacing w:line="360" w:lineRule="auto"/>
              <w:jc w:val="left"/>
              <w:textAlignment w:val="center"/>
              <w:rPr>
                <w:rFonts w:ascii="宋体" w:eastAsia="宋体" w:hAnsi="宋体" w:hint="eastAsia"/>
                <w:szCs w:val="21"/>
              </w:rPr>
            </w:pPr>
            <w:r w:rsidRPr="002960E0">
              <w:rPr>
                <w:rFonts w:ascii="宋体" w:eastAsia="宋体" w:hAnsi="宋体"/>
                <w:szCs w:val="21"/>
              </w:rPr>
              <w:t>为</w:t>
            </w:r>
            <w:r w:rsidRPr="002960E0">
              <w:rPr>
                <w:rFonts w:ascii="宋体" w:eastAsia="宋体" w:hAnsi="宋体" w:cs="Times New Roman"/>
                <w:szCs w:val="21"/>
                <w:u w:val="single"/>
              </w:rPr>
              <w:t xml:space="preserve">     </w:t>
            </w:r>
            <w:r w:rsidR="00441117">
              <w:rPr>
                <w:rFonts w:ascii="宋体" w:eastAsia="宋体" w:hAnsi="宋体" w:cs="Times New Roman" w:hint="eastAsia"/>
                <w:szCs w:val="21"/>
                <w:u w:val="single"/>
              </w:rPr>
              <w:t xml:space="preserve">            </w:t>
            </w:r>
            <w:r w:rsidRPr="002960E0">
              <w:rPr>
                <w:rFonts w:ascii="宋体" w:eastAsia="宋体" w:hAnsi="宋体" w:cs="Times New Roman"/>
                <w:szCs w:val="21"/>
                <w:u w:val="single"/>
              </w:rPr>
              <w:t xml:space="preserve">  </w:t>
            </w:r>
            <w:r w:rsidRPr="002960E0">
              <w:rPr>
                <w:rFonts w:ascii="宋体" w:eastAsia="宋体" w:hAnsi="宋体"/>
                <w:szCs w:val="21"/>
              </w:rPr>
              <w:t>干预组，戊组为运动联合氟西汀干预组。</w:t>
            </w:r>
          </w:p>
        </w:tc>
      </w:tr>
      <w:tr w:rsidR="009C2D4B" w:rsidRPr="002960E0" w14:paraId="0FF653F2" w14:textId="77777777" w:rsidTr="002470B9">
        <w:tc>
          <w:tcPr>
            <w:tcW w:w="155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F6D03DF" w14:textId="77777777" w:rsidR="009C2D4B" w:rsidRPr="002960E0" w:rsidRDefault="009C2D4B" w:rsidP="002470B9">
            <w:pPr>
              <w:spacing w:line="360" w:lineRule="auto"/>
              <w:jc w:val="left"/>
              <w:textAlignment w:val="center"/>
              <w:rPr>
                <w:rFonts w:ascii="宋体" w:eastAsia="宋体" w:hAnsi="宋体" w:hint="eastAsia"/>
                <w:szCs w:val="21"/>
              </w:rPr>
            </w:pPr>
            <w:r w:rsidRPr="002960E0">
              <w:rPr>
                <w:rFonts w:ascii="宋体" w:eastAsia="宋体" w:hAnsi="宋体"/>
                <w:szCs w:val="21"/>
              </w:rPr>
              <w:t>实验处理</w:t>
            </w:r>
          </w:p>
        </w:tc>
        <w:tc>
          <w:tcPr>
            <w:tcW w:w="889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43A69B6" w14:textId="2073645F" w:rsidR="009C2D4B" w:rsidRPr="002960E0" w:rsidRDefault="009C2D4B" w:rsidP="002470B9">
            <w:pPr>
              <w:spacing w:line="360" w:lineRule="auto"/>
              <w:jc w:val="left"/>
              <w:textAlignment w:val="center"/>
              <w:rPr>
                <w:rFonts w:ascii="宋体" w:eastAsia="宋体" w:hAnsi="宋体" w:hint="eastAsia"/>
                <w:szCs w:val="21"/>
              </w:rPr>
            </w:pPr>
            <w:r w:rsidRPr="002960E0">
              <w:rPr>
                <w:rFonts w:ascii="宋体" w:eastAsia="宋体" w:hAnsi="宋体"/>
                <w:szCs w:val="21"/>
              </w:rPr>
              <w:t>甲组在食物充足，温度为22℃，湿度为40%-50%等环境条件下培养8周。乙组</w:t>
            </w:r>
            <w:r w:rsidRPr="002960E0">
              <w:rPr>
                <w:rFonts w:ascii="宋体" w:eastAsia="宋体" w:hAnsi="宋体" w:cs="Times New Roman"/>
                <w:szCs w:val="21"/>
                <w:u w:val="single"/>
              </w:rPr>
              <w:t xml:space="preserve">   </w:t>
            </w:r>
            <w:r w:rsidR="00441117">
              <w:rPr>
                <w:rFonts w:ascii="宋体" w:eastAsia="宋体" w:hAnsi="宋体" w:cs="Times New Roman" w:hint="eastAsia"/>
                <w:szCs w:val="21"/>
                <w:u w:val="single"/>
              </w:rPr>
              <w:t xml:space="preserve">       </w:t>
            </w:r>
            <w:r w:rsidRPr="002960E0">
              <w:rPr>
                <w:rFonts w:ascii="宋体" w:eastAsia="宋体" w:hAnsi="宋体" w:cs="Times New Roman"/>
                <w:szCs w:val="21"/>
                <w:u w:val="single"/>
              </w:rPr>
              <w:t xml:space="preserve">  </w:t>
            </w:r>
            <w:r w:rsidRPr="002960E0">
              <w:rPr>
                <w:rFonts w:ascii="宋体" w:eastAsia="宋体" w:hAnsi="宋体"/>
                <w:szCs w:val="21"/>
              </w:rPr>
              <w:t>。丙、戊组每周三天进行有氧运动，丁、戊组每天用氟西汀灌胃，其他培养条件与甲组相同。</w:t>
            </w:r>
          </w:p>
        </w:tc>
      </w:tr>
      <w:tr w:rsidR="009C2D4B" w:rsidRPr="002960E0" w14:paraId="7169A503" w14:textId="77777777" w:rsidTr="002470B9">
        <w:tc>
          <w:tcPr>
            <w:tcW w:w="155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7FF22CF" w14:textId="77777777" w:rsidR="009C2D4B" w:rsidRPr="002960E0" w:rsidRDefault="009C2D4B" w:rsidP="002470B9">
            <w:pPr>
              <w:spacing w:line="360" w:lineRule="auto"/>
              <w:jc w:val="left"/>
              <w:textAlignment w:val="center"/>
              <w:rPr>
                <w:rFonts w:ascii="宋体" w:eastAsia="宋体" w:hAnsi="宋体" w:hint="eastAsia"/>
                <w:szCs w:val="21"/>
              </w:rPr>
            </w:pPr>
            <w:r w:rsidRPr="002960E0">
              <w:rPr>
                <w:rFonts w:ascii="宋体" w:eastAsia="宋体" w:hAnsi="宋体"/>
                <w:szCs w:val="21"/>
              </w:rPr>
              <w:t>相关数据测定</w:t>
            </w:r>
          </w:p>
        </w:tc>
        <w:tc>
          <w:tcPr>
            <w:tcW w:w="889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1E74C5F" w14:textId="77777777" w:rsidR="009C2D4B" w:rsidRPr="002960E0" w:rsidRDefault="009C2D4B" w:rsidP="002470B9">
            <w:pPr>
              <w:spacing w:line="360" w:lineRule="auto"/>
              <w:jc w:val="left"/>
              <w:textAlignment w:val="center"/>
              <w:rPr>
                <w:rFonts w:ascii="宋体" w:eastAsia="宋体" w:hAnsi="宋体" w:hint="eastAsia"/>
                <w:szCs w:val="21"/>
              </w:rPr>
            </w:pPr>
            <w:r w:rsidRPr="002960E0">
              <w:rPr>
                <w:rFonts w:ascii="宋体" w:eastAsia="宋体" w:hAnsi="宋体"/>
                <w:szCs w:val="21"/>
              </w:rPr>
              <w:t>对所有小鼠进行麻醉，测定促肾上腺皮质激素释放激素(CRH)的量，甲、乙、丙、丁、戊五组小鼠的CRH平均值分别为：5、15、8、7、6ODμm</w:t>
            </w:r>
            <w:r w:rsidRPr="002960E0">
              <w:rPr>
                <w:rFonts w:ascii="宋体" w:eastAsia="宋体" w:hAnsi="宋体"/>
                <w:szCs w:val="21"/>
                <w:vertAlign w:val="superscript"/>
              </w:rPr>
              <w:t>-2</w:t>
            </w:r>
          </w:p>
        </w:tc>
      </w:tr>
    </w:tbl>
    <w:p w14:paraId="16C26E72" w14:textId="73F61E8B" w:rsidR="009B28B0" w:rsidRPr="003B4053" w:rsidRDefault="009C2D4B" w:rsidP="003B4053">
      <w:pPr>
        <w:spacing w:line="360" w:lineRule="auto"/>
        <w:jc w:val="left"/>
        <w:textAlignment w:val="center"/>
        <w:rPr>
          <w:rFonts w:ascii="宋体" w:eastAsia="宋体" w:hAnsi="宋体" w:hint="eastAsia"/>
          <w:szCs w:val="21"/>
        </w:rPr>
      </w:pPr>
      <w:r w:rsidRPr="002960E0">
        <w:rPr>
          <w:rFonts w:ascii="宋体" w:eastAsia="宋体" w:hAnsi="宋体"/>
          <w:szCs w:val="21"/>
        </w:rPr>
        <w:t>实验结论：</w:t>
      </w:r>
      <w:r w:rsidRPr="002960E0">
        <w:rPr>
          <w:rFonts w:ascii="宋体" w:eastAsia="宋体" w:hAnsi="宋体" w:cs="Times New Roman"/>
          <w:szCs w:val="21"/>
          <w:u w:val="single"/>
        </w:rPr>
        <w:t xml:space="preserve">       </w:t>
      </w:r>
      <w:r w:rsidRPr="002960E0">
        <w:rPr>
          <w:rFonts w:ascii="宋体" w:eastAsia="宋体" w:hAnsi="宋体"/>
          <w:szCs w:val="21"/>
        </w:rPr>
        <w:t>。</w:t>
      </w:r>
    </w:p>
    <w:p w14:paraId="424AD072" w14:textId="722560D6" w:rsidR="00257D0C" w:rsidRPr="002960E0" w:rsidRDefault="00257D0C" w:rsidP="00257D0C">
      <w:pPr>
        <w:jc w:val="center"/>
        <w:rPr>
          <w:rFonts w:ascii="宋体" w:eastAsia="宋体" w:hAnsi="宋体" w:cs="Times New Roman" w:hint="eastAsia"/>
          <w:b/>
          <w:bCs/>
          <w:szCs w:val="21"/>
        </w:rPr>
      </w:pPr>
      <w:r w:rsidRPr="002960E0">
        <w:rPr>
          <w:rFonts w:ascii="宋体" w:eastAsia="宋体" w:hAnsi="宋体" w:cs="Times New Roman" w:hint="eastAsia"/>
          <w:b/>
          <w:bCs/>
          <w:szCs w:val="21"/>
        </w:rPr>
        <w:lastRenderedPageBreak/>
        <w:t>答案</w:t>
      </w:r>
    </w:p>
    <w:p w14:paraId="0F093CFA" w14:textId="0BA219A8" w:rsidR="000243BF" w:rsidRPr="002960E0" w:rsidRDefault="004F2A1E" w:rsidP="004F2A1E">
      <w:pPr>
        <w:rPr>
          <w:rFonts w:ascii="宋体" w:eastAsia="宋体" w:hAnsi="宋体" w:cs="Times New Roman" w:hint="eastAsia"/>
          <w:b/>
          <w:bCs/>
          <w:szCs w:val="21"/>
        </w:rPr>
      </w:pPr>
      <w:r w:rsidRPr="002960E0">
        <w:rPr>
          <w:rFonts w:ascii="宋体" w:eastAsia="宋体" w:hAnsi="宋体" w:cs="Times New Roman" w:hint="eastAsia"/>
          <w:b/>
          <w:bCs/>
          <w:szCs w:val="21"/>
        </w:rPr>
        <w:t>【典例分析】</w:t>
      </w:r>
    </w:p>
    <w:p w14:paraId="482D8BDF" w14:textId="166B390E" w:rsidR="00E84A5D" w:rsidRPr="002960E0" w:rsidRDefault="00E84A5D" w:rsidP="00EF0C16">
      <w:pPr>
        <w:spacing w:line="360" w:lineRule="auto"/>
        <w:jc w:val="left"/>
        <w:textAlignment w:val="center"/>
        <w:rPr>
          <w:rFonts w:ascii="宋体" w:eastAsia="宋体" w:hAnsi="宋体" w:hint="eastAsia"/>
          <w:szCs w:val="21"/>
        </w:rPr>
      </w:pPr>
      <w:r w:rsidRPr="002960E0">
        <w:rPr>
          <w:rFonts w:ascii="宋体" w:eastAsia="宋体" w:hAnsi="宋体" w:cs="Times New Roman" w:hint="eastAsia"/>
          <w:b/>
          <w:bCs/>
          <w:szCs w:val="21"/>
        </w:rPr>
        <w:t>（1）正（1分）  （2）钠离子 （2分）  （3）</w:t>
      </w:r>
      <w:r w:rsidRPr="002960E0">
        <w:rPr>
          <w:rFonts w:ascii="宋体" w:eastAsia="宋体" w:hAnsi="宋体" w:hint="eastAsia"/>
          <w:szCs w:val="21"/>
        </w:rPr>
        <w:t>①无 （2分）   Ca2+/钙调蛋白复合体不能与L蛋白结合  ②抑制（2分）  ③乙丁  （3分，答对一个得2分，两个得3分，错答不得分）</w:t>
      </w:r>
    </w:p>
    <w:p w14:paraId="3DEF9C98" w14:textId="191209CA" w:rsidR="005B7F4B" w:rsidRPr="002960E0" w:rsidRDefault="004F2A1E" w:rsidP="004F2A1E">
      <w:pPr>
        <w:rPr>
          <w:rFonts w:ascii="宋体" w:eastAsia="宋体" w:hAnsi="宋体" w:cs="Times New Roman" w:hint="eastAsia"/>
          <w:b/>
          <w:bCs/>
          <w:szCs w:val="21"/>
        </w:rPr>
      </w:pPr>
      <w:r w:rsidRPr="002960E0">
        <w:rPr>
          <w:rFonts w:ascii="宋体" w:eastAsia="宋体" w:hAnsi="宋体" w:cs="Times New Roman" w:hint="eastAsia"/>
          <w:b/>
          <w:bCs/>
          <w:szCs w:val="21"/>
        </w:rPr>
        <w:t>【对点突破】</w:t>
      </w:r>
    </w:p>
    <w:p w14:paraId="4B4C96E7" w14:textId="7D7E0007" w:rsidR="00660310" w:rsidRPr="002960E0" w:rsidRDefault="0029658A" w:rsidP="00660310">
      <w:pPr>
        <w:spacing w:line="360" w:lineRule="auto"/>
        <w:jc w:val="left"/>
        <w:textAlignment w:val="center"/>
        <w:rPr>
          <w:rFonts w:ascii="宋体" w:eastAsia="宋体" w:hAnsi="宋体" w:hint="eastAsia"/>
          <w:szCs w:val="21"/>
        </w:rPr>
      </w:pPr>
      <w:r>
        <w:rPr>
          <w:rFonts w:ascii="宋体" w:eastAsia="宋体" w:hAnsi="宋体" w:hint="eastAsia"/>
          <w:szCs w:val="21"/>
        </w:rPr>
        <w:t>1</w:t>
      </w:r>
      <w:r w:rsidR="00660310" w:rsidRPr="002960E0">
        <w:rPr>
          <w:rFonts w:ascii="宋体" w:eastAsia="宋体" w:hAnsi="宋体"/>
          <w:szCs w:val="21"/>
        </w:rPr>
        <w:t>．(1)     突触小体     NMDA     无活性     Na</w:t>
      </w:r>
      <w:r w:rsidR="00660310" w:rsidRPr="002960E0">
        <w:rPr>
          <w:rFonts w:ascii="宋体" w:eastAsia="宋体" w:hAnsi="宋体"/>
          <w:szCs w:val="21"/>
          <w:vertAlign w:val="superscript"/>
        </w:rPr>
        <w:t>+</w:t>
      </w:r>
      <w:r w:rsidR="00660310" w:rsidRPr="002960E0">
        <w:rPr>
          <w:rFonts w:ascii="宋体" w:eastAsia="宋体" w:hAnsi="宋体"/>
          <w:szCs w:val="21"/>
        </w:rPr>
        <w:t>内流     升高（或由负变正）</w:t>
      </w:r>
      <w:r w:rsidR="00E84A5D" w:rsidRPr="002960E0">
        <w:rPr>
          <w:rFonts w:ascii="宋体" w:eastAsia="宋体" w:hAnsi="宋体" w:hint="eastAsia"/>
          <w:szCs w:val="21"/>
        </w:rPr>
        <w:t xml:space="preserve"> </w:t>
      </w:r>
    </w:p>
    <w:p w14:paraId="54460BA3" w14:textId="77777777" w:rsidR="00660310" w:rsidRPr="002960E0" w:rsidRDefault="00660310" w:rsidP="00660310">
      <w:pPr>
        <w:spacing w:line="360" w:lineRule="auto"/>
        <w:jc w:val="left"/>
        <w:textAlignment w:val="center"/>
        <w:rPr>
          <w:rFonts w:ascii="宋体" w:eastAsia="宋体" w:hAnsi="宋体" w:hint="eastAsia"/>
          <w:szCs w:val="21"/>
        </w:rPr>
      </w:pPr>
      <w:r w:rsidRPr="002960E0">
        <w:rPr>
          <w:rFonts w:ascii="宋体" w:eastAsia="宋体" w:hAnsi="宋体"/>
          <w:szCs w:val="21"/>
        </w:rPr>
        <w:t>(2)     表达     AMPA受体     新突触</w:t>
      </w:r>
    </w:p>
    <w:p w14:paraId="1E393F63" w14:textId="77777777" w:rsidR="00660310" w:rsidRPr="002960E0" w:rsidRDefault="00660310" w:rsidP="00660310">
      <w:pPr>
        <w:spacing w:line="360" w:lineRule="auto"/>
        <w:jc w:val="left"/>
        <w:textAlignment w:val="center"/>
        <w:rPr>
          <w:rFonts w:ascii="宋体" w:eastAsia="宋体" w:hAnsi="宋体" w:hint="eastAsia"/>
          <w:szCs w:val="21"/>
        </w:rPr>
      </w:pPr>
      <w:r w:rsidRPr="002960E0">
        <w:rPr>
          <w:rFonts w:ascii="宋体" w:eastAsia="宋体" w:hAnsi="宋体"/>
          <w:szCs w:val="21"/>
        </w:rPr>
        <w:t>(3)     有间隔的高频刺激比单次高频刺激的局部场电位强度更高     及时多次复习巩固有利于延长记忆时间，提高学习效率</w:t>
      </w:r>
    </w:p>
    <w:p w14:paraId="075041F9" w14:textId="77777777" w:rsidR="00F82B7C" w:rsidRDefault="00F82B7C" w:rsidP="00F82B7C">
      <w:pPr>
        <w:spacing w:line="360" w:lineRule="auto"/>
        <w:jc w:val="left"/>
        <w:textAlignment w:val="center"/>
        <w:rPr>
          <w:rFonts w:ascii="宋体" w:eastAsia="宋体" w:hAnsi="宋体" w:hint="eastAsia"/>
          <w:szCs w:val="21"/>
        </w:rPr>
      </w:pPr>
    </w:p>
    <w:p w14:paraId="0A545A77" w14:textId="5013166D" w:rsidR="00F82B7C" w:rsidRPr="002960E0" w:rsidRDefault="0029658A" w:rsidP="00F82B7C">
      <w:pPr>
        <w:spacing w:line="360" w:lineRule="auto"/>
        <w:jc w:val="left"/>
        <w:textAlignment w:val="center"/>
        <w:rPr>
          <w:rFonts w:ascii="宋体" w:eastAsia="宋体" w:hAnsi="宋体" w:hint="eastAsia"/>
          <w:szCs w:val="21"/>
        </w:rPr>
      </w:pPr>
      <w:r>
        <w:rPr>
          <w:rFonts w:ascii="宋体" w:eastAsia="宋体" w:hAnsi="宋体" w:hint="eastAsia"/>
          <w:szCs w:val="21"/>
        </w:rPr>
        <w:t>2</w:t>
      </w:r>
      <w:r w:rsidR="00660310" w:rsidRPr="002960E0">
        <w:rPr>
          <w:rFonts w:ascii="宋体" w:eastAsia="宋体" w:hAnsi="宋体"/>
          <w:szCs w:val="21"/>
        </w:rPr>
        <w:t>．</w:t>
      </w:r>
      <w:r w:rsidR="00F82B7C" w:rsidRPr="002960E0">
        <w:rPr>
          <w:rFonts w:ascii="宋体" w:eastAsia="宋体" w:hAnsi="宋体"/>
          <w:szCs w:val="21"/>
        </w:rPr>
        <w:t xml:space="preserve">(1)     氧化分解     非糖物质     肝糖原分解     </w:t>
      </w:r>
      <w:r w:rsidR="00F82B7C">
        <w:rPr>
          <w:rFonts w:ascii="宋体" w:eastAsia="宋体" w:hAnsi="宋体" w:hint="eastAsia"/>
          <w:szCs w:val="21"/>
        </w:rPr>
        <w:t>（</w:t>
      </w:r>
      <w:r w:rsidR="00F82B7C" w:rsidRPr="002960E0">
        <w:rPr>
          <w:rFonts w:ascii="宋体" w:eastAsia="宋体" w:hAnsi="宋体"/>
          <w:szCs w:val="21"/>
        </w:rPr>
        <w:t>负</w:t>
      </w:r>
      <w:r w:rsidR="00F82B7C">
        <w:rPr>
          <w:rFonts w:ascii="宋体" w:eastAsia="宋体" w:hAnsi="宋体" w:hint="eastAsia"/>
          <w:szCs w:val="21"/>
        </w:rPr>
        <w:t>）</w:t>
      </w:r>
      <w:r w:rsidR="00F82B7C" w:rsidRPr="002960E0">
        <w:rPr>
          <w:rFonts w:ascii="宋体" w:eastAsia="宋体" w:hAnsi="宋体"/>
          <w:szCs w:val="21"/>
        </w:rPr>
        <w:t>反馈</w:t>
      </w:r>
    </w:p>
    <w:p w14:paraId="611F3EFA" w14:textId="77777777" w:rsidR="00F82B7C" w:rsidRPr="002960E0" w:rsidRDefault="00F82B7C" w:rsidP="00F82B7C">
      <w:pPr>
        <w:spacing w:line="360" w:lineRule="auto"/>
        <w:jc w:val="left"/>
        <w:textAlignment w:val="center"/>
        <w:rPr>
          <w:rFonts w:ascii="宋体" w:eastAsia="宋体" w:hAnsi="宋体" w:hint="eastAsia"/>
          <w:szCs w:val="21"/>
        </w:rPr>
      </w:pPr>
      <w:r w:rsidRPr="002960E0">
        <w:rPr>
          <w:rFonts w:ascii="宋体" w:eastAsia="宋体" w:hAnsi="宋体"/>
          <w:szCs w:val="21"/>
        </w:rPr>
        <w:t>(2)     含GLUT4的囊泡和细胞膜     协助扩散</w:t>
      </w:r>
    </w:p>
    <w:p w14:paraId="06BFDC0F" w14:textId="77777777" w:rsidR="00F82B7C" w:rsidRPr="002960E0" w:rsidRDefault="00F82B7C" w:rsidP="00F82B7C">
      <w:pPr>
        <w:spacing w:line="360" w:lineRule="auto"/>
        <w:jc w:val="left"/>
        <w:textAlignment w:val="center"/>
        <w:rPr>
          <w:rFonts w:ascii="宋体" w:eastAsia="宋体" w:hAnsi="宋体" w:hint="eastAsia"/>
          <w:szCs w:val="21"/>
        </w:rPr>
      </w:pPr>
      <w:r w:rsidRPr="002960E0">
        <w:rPr>
          <w:rFonts w:ascii="宋体" w:eastAsia="宋体" w:hAnsi="宋体"/>
          <w:szCs w:val="21"/>
        </w:rPr>
        <w:t>(3)降低</w:t>
      </w:r>
    </w:p>
    <w:p w14:paraId="0969D9C2" w14:textId="77777777" w:rsidR="00F82B7C" w:rsidRPr="002960E0" w:rsidRDefault="00F82B7C" w:rsidP="00F82B7C">
      <w:pPr>
        <w:spacing w:line="360" w:lineRule="auto"/>
        <w:jc w:val="left"/>
        <w:textAlignment w:val="center"/>
        <w:rPr>
          <w:rFonts w:ascii="宋体" w:eastAsia="宋体" w:hAnsi="宋体" w:hint="eastAsia"/>
          <w:szCs w:val="21"/>
        </w:rPr>
      </w:pPr>
      <w:r w:rsidRPr="002960E0">
        <w:rPr>
          <w:rFonts w:ascii="宋体" w:eastAsia="宋体" w:hAnsi="宋体"/>
          <w:szCs w:val="21"/>
        </w:rPr>
        <w:t>(4)     使用FGF1可使胰岛素抵抗模型鼠的血糖浓度降低，且FGF1发挥降血糖作用时必须依赖胰岛素     使用FGF1可使胰岛素抵抗模型鼠的血糖浓度降低，且随FGF1浓度的增加，胰岛素抵抗模型鼠的胰岛素含量也降低</w:t>
      </w:r>
    </w:p>
    <w:p w14:paraId="3CD3A4B2" w14:textId="77777777" w:rsidR="00F82B7C" w:rsidRPr="002960E0" w:rsidRDefault="00F82B7C" w:rsidP="00F82B7C">
      <w:pPr>
        <w:spacing w:line="360" w:lineRule="auto"/>
        <w:jc w:val="left"/>
        <w:textAlignment w:val="center"/>
        <w:rPr>
          <w:rFonts w:ascii="宋体" w:eastAsia="宋体" w:hAnsi="宋体" w:hint="eastAsia"/>
          <w:szCs w:val="21"/>
        </w:rPr>
      </w:pPr>
      <w:r w:rsidRPr="002960E0">
        <w:rPr>
          <w:rFonts w:ascii="宋体" w:eastAsia="宋体" w:hAnsi="宋体"/>
          <w:szCs w:val="21"/>
        </w:rPr>
        <w:t>(5)FGF1可通过促进胰岛素与受体结合（或促进信号传导，促进胰岛素受体合成，增加膜上胰岛素受体数量等），从而提高胰岛素的功效，改善胰岛素抵抗</w:t>
      </w:r>
    </w:p>
    <w:p w14:paraId="1F689622" w14:textId="77777777" w:rsidR="00F82B7C" w:rsidRDefault="00F82B7C" w:rsidP="00660310">
      <w:pPr>
        <w:spacing w:line="360" w:lineRule="auto"/>
        <w:jc w:val="left"/>
        <w:textAlignment w:val="center"/>
        <w:rPr>
          <w:rFonts w:ascii="宋体" w:eastAsia="宋体" w:hAnsi="宋体" w:hint="eastAsia"/>
          <w:szCs w:val="21"/>
        </w:rPr>
      </w:pPr>
    </w:p>
    <w:p w14:paraId="78A3B151" w14:textId="4DB63559" w:rsidR="004F2A1E" w:rsidRDefault="004F2A1E" w:rsidP="00456A49">
      <w:pPr>
        <w:spacing w:line="360" w:lineRule="auto"/>
        <w:jc w:val="left"/>
        <w:textAlignment w:val="center"/>
        <w:rPr>
          <w:rFonts w:ascii="宋体" w:eastAsia="宋体" w:hAnsi="宋体" w:cs="Times New Roman" w:hint="eastAsia"/>
          <w:b/>
          <w:bCs/>
          <w:szCs w:val="21"/>
        </w:rPr>
      </w:pPr>
      <w:r w:rsidRPr="002960E0">
        <w:rPr>
          <w:rFonts w:ascii="宋体" w:eastAsia="宋体" w:hAnsi="宋体" w:cs="Times New Roman" w:hint="eastAsia"/>
          <w:b/>
          <w:bCs/>
          <w:szCs w:val="21"/>
        </w:rPr>
        <w:t>【拓展延伸】</w:t>
      </w:r>
    </w:p>
    <w:p w14:paraId="771C8174" w14:textId="77777777" w:rsidR="00F82B7C" w:rsidRPr="002960E0" w:rsidRDefault="00F82B7C" w:rsidP="00F82B7C">
      <w:pPr>
        <w:spacing w:line="360" w:lineRule="auto"/>
        <w:jc w:val="left"/>
        <w:textAlignment w:val="center"/>
        <w:rPr>
          <w:rFonts w:ascii="宋体" w:eastAsia="宋体" w:hAnsi="宋体" w:hint="eastAsia"/>
          <w:szCs w:val="21"/>
        </w:rPr>
      </w:pPr>
      <w:r w:rsidRPr="002960E0">
        <w:rPr>
          <w:rFonts w:ascii="宋体" w:eastAsia="宋体" w:hAnsi="宋体"/>
          <w:szCs w:val="21"/>
        </w:rPr>
        <w:t>(1)     协助扩散     Na</w:t>
      </w:r>
      <w:r w:rsidRPr="002960E0">
        <w:rPr>
          <w:rFonts w:ascii="宋体" w:eastAsia="宋体" w:hAnsi="宋体"/>
          <w:szCs w:val="21"/>
          <w:vertAlign w:val="superscript"/>
        </w:rPr>
        <w:t>+</w:t>
      </w:r>
      <w:r w:rsidRPr="002960E0">
        <w:rPr>
          <w:rFonts w:ascii="宋体" w:eastAsia="宋体" w:hAnsi="宋体"/>
          <w:szCs w:val="21"/>
        </w:rPr>
        <w:t>内流，产生动作电位</w:t>
      </w:r>
    </w:p>
    <w:p w14:paraId="1B9F3D79" w14:textId="77777777" w:rsidR="00F82B7C" w:rsidRPr="002960E0" w:rsidRDefault="00F82B7C" w:rsidP="00F82B7C">
      <w:pPr>
        <w:spacing w:line="360" w:lineRule="auto"/>
        <w:jc w:val="left"/>
        <w:textAlignment w:val="center"/>
        <w:rPr>
          <w:rFonts w:ascii="宋体" w:eastAsia="宋体" w:hAnsi="宋体" w:hint="eastAsia"/>
          <w:szCs w:val="21"/>
        </w:rPr>
      </w:pPr>
      <w:r w:rsidRPr="002960E0">
        <w:rPr>
          <w:rFonts w:ascii="宋体" w:eastAsia="宋体" w:hAnsi="宋体"/>
          <w:szCs w:val="21"/>
        </w:rPr>
        <w:t>(2)     进入突触小泡或被5-HT水解酶水解     防止5-HT的过多释放，使突触后膜持续过度兴奋</w:t>
      </w:r>
    </w:p>
    <w:p w14:paraId="47060806" w14:textId="77777777" w:rsidR="00F82B7C" w:rsidRPr="002960E0" w:rsidRDefault="00F82B7C" w:rsidP="00F82B7C">
      <w:pPr>
        <w:spacing w:line="360" w:lineRule="auto"/>
        <w:jc w:val="left"/>
        <w:textAlignment w:val="center"/>
        <w:rPr>
          <w:rFonts w:ascii="宋体" w:eastAsia="宋体" w:hAnsi="宋体" w:hint="eastAsia"/>
          <w:szCs w:val="21"/>
        </w:rPr>
      </w:pPr>
      <w:r w:rsidRPr="002960E0">
        <w:rPr>
          <w:rFonts w:ascii="宋体" w:eastAsia="宋体" w:hAnsi="宋体"/>
          <w:szCs w:val="21"/>
        </w:rPr>
        <w:t>(3)负反馈</w:t>
      </w:r>
    </w:p>
    <w:p w14:paraId="4D6EA971" w14:textId="77777777" w:rsidR="00F82B7C" w:rsidRPr="002960E0" w:rsidRDefault="00F82B7C" w:rsidP="00F82B7C">
      <w:pPr>
        <w:spacing w:line="360" w:lineRule="auto"/>
        <w:jc w:val="left"/>
        <w:textAlignment w:val="center"/>
        <w:rPr>
          <w:rFonts w:ascii="宋体" w:eastAsia="宋体" w:hAnsi="宋体" w:hint="eastAsia"/>
          <w:szCs w:val="21"/>
        </w:rPr>
      </w:pPr>
      <w:r w:rsidRPr="002960E0">
        <w:rPr>
          <w:rFonts w:ascii="宋体" w:eastAsia="宋体" w:hAnsi="宋体"/>
          <w:szCs w:val="21"/>
        </w:rPr>
        <w:t>(4)抑制剂</w:t>
      </w:r>
    </w:p>
    <w:p w14:paraId="29673708" w14:textId="77777777" w:rsidR="00F82B7C" w:rsidRPr="002960E0" w:rsidRDefault="00F82B7C" w:rsidP="00F82B7C">
      <w:pPr>
        <w:spacing w:line="360" w:lineRule="auto"/>
        <w:jc w:val="left"/>
        <w:textAlignment w:val="center"/>
        <w:rPr>
          <w:rFonts w:ascii="宋体" w:eastAsia="宋体" w:hAnsi="宋体" w:hint="eastAsia"/>
          <w:szCs w:val="21"/>
        </w:rPr>
      </w:pPr>
      <w:r w:rsidRPr="002960E0">
        <w:rPr>
          <w:rFonts w:ascii="宋体" w:eastAsia="宋体" w:hAnsi="宋体"/>
          <w:szCs w:val="21"/>
        </w:rPr>
        <w:t>(5)     构建抑郁症模型鼠     氟西汀     培养条件与甲组相同     适度有氧运动能缓解大鼠的HPA轴过度激活型抑郁症，运动的同时结合氟西汀治疗缓解效果更好</w:t>
      </w:r>
    </w:p>
    <w:p w14:paraId="77B705B8" w14:textId="77777777" w:rsidR="00F82B7C" w:rsidRPr="002960E0" w:rsidRDefault="00F82B7C" w:rsidP="00F82B7C">
      <w:pPr>
        <w:spacing w:line="360" w:lineRule="auto"/>
        <w:jc w:val="left"/>
        <w:textAlignment w:val="center"/>
        <w:rPr>
          <w:rFonts w:ascii="宋体" w:eastAsia="宋体" w:hAnsi="宋体" w:hint="eastAsia"/>
          <w:szCs w:val="21"/>
        </w:rPr>
      </w:pPr>
    </w:p>
    <w:p w14:paraId="344FDEA0" w14:textId="77777777" w:rsidR="00F82B7C" w:rsidRPr="00F82B7C" w:rsidRDefault="00F82B7C" w:rsidP="00456A49">
      <w:pPr>
        <w:spacing w:line="360" w:lineRule="auto"/>
        <w:jc w:val="left"/>
        <w:textAlignment w:val="center"/>
        <w:rPr>
          <w:rFonts w:ascii="宋体" w:eastAsia="宋体" w:hAnsi="宋体" w:cs="Times New Roman" w:hint="eastAsia"/>
          <w:b/>
          <w:bCs/>
          <w:szCs w:val="21"/>
        </w:rPr>
      </w:pPr>
    </w:p>
    <w:sectPr w:rsidR="00F82B7C" w:rsidRPr="00F82B7C" w:rsidSect="0098167F">
      <w:footerReference w:type="default" r:id="rId1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210DD" w14:textId="77777777" w:rsidR="005F2311" w:rsidRDefault="005F2311" w:rsidP="00C34174">
      <w:pPr>
        <w:rPr>
          <w:rFonts w:hint="eastAsia"/>
        </w:rPr>
      </w:pPr>
      <w:r>
        <w:separator/>
      </w:r>
    </w:p>
  </w:endnote>
  <w:endnote w:type="continuationSeparator" w:id="0">
    <w:p w14:paraId="01C77B1A" w14:textId="77777777" w:rsidR="005F2311" w:rsidRDefault="005F2311" w:rsidP="00C341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351954"/>
      <w:docPartObj>
        <w:docPartGallery w:val="Page Numbers (Bottom of Page)"/>
        <w:docPartUnique/>
      </w:docPartObj>
    </w:sdtPr>
    <w:sdtContent>
      <w:p w14:paraId="184BD12C" w14:textId="18B848FB" w:rsidR="008D04D6" w:rsidRDefault="008D04D6">
        <w:pPr>
          <w:pStyle w:val="a5"/>
          <w:jc w:val="center"/>
          <w:rPr>
            <w:rFonts w:hint="eastAsia"/>
          </w:rPr>
        </w:pPr>
        <w:r>
          <w:fldChar w:fldCharType="begin"/>
        </w:r>
        <w:r>
          <w:instrText>PAGE   \* MERGEFORMAT</w:instrText>
        </w:r>
        <w:r>
          <w:fldChar w:fldCharType="separate"/>
        </w:r>
        <w:r w:rsidR="000A33EB" w:rsidRPr="000A33EB">
          <w:rPr>
            <w:noProof/>
            <w:lang w:val="zh-CN"/>
          </w:rPr>
          <w:t>3</w:t>
        </w:r>
        <w:r>
          <w:fldChar w:fldCharType="end"/>
        </w:r>
      </w:p>
    </w:sdtContent>
  </w:sdt>
  <w:p w14:paraId="06AB1131" w14:textId="77777777" w:rsidR="008D04D6" w:rsidRDefault="008D04D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A74E9" w14:textId="77777777" w:rsidR="005F2311" w:rsidRDefault="005F2311" w:rsidP="00C34174">
      <w:pPr>
        <w:rPr>
          <w:rFonts w:hint="eastAsia"/>
        </w:rPr>
      </w:pPr>
      <w:r>
        <w:separator/>
      </w:r>
    </w:p>
  </w:footnote>
  <w:footnote w:type="continuationSeparator" w:id="0">
    <w:p w14:paraId="10D3650A" w14:textId="77777777" w:rsidR="005F2311" w:rsidRDefault="005F2311" w:rsidP="00C3417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D437A"/>
    <w:multiLevelType w:val="hybridMultilevel"/>
    <w:tmpl w:val="393E5732"/>
    <w:lvl w:ilvl="0" w:tplc="C92C5B8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AE00F00"/>
    <w:multiLevelType w:val="hybridMultilevel"/>
    <w:tmpl w:val="2A28A5A6"/>
    <w:lvl w:ilvl="0" w:tplc="864CB4B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7B66EE4"/>
    <w:multiLevelType w:val="hybridMultilevel"/>
    <w:tmpl w:val="96FCC152"/>
    <w:lvl w:ilvl="0" w:tplc="46C0A500">
      <w:start w:val="1"/>
      <w:numFmt w:val="decimalEnclosedCircle"/>
      <w:lvlText w:val="%1"/>
      <w:lvlJc w:val="left"/>
      <w:pPr>
        <w:ind w:left="1008" w:hanging="1008"/>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2A14A2B"/>
    <w:multiLevelType w:val="hybridMultilevel"/>
    <w:tmpl w:val="06B82BEA"/>
    <w:lvl w:ilvl="0" w:tplc="46C0A500">
      <w:start w:val="1"/>
      <w:numFmt w:val="decimalEnclosedCircle"/>
      <w:lvlText w:val="%1"/>
      <w:lvlJc w:val="left"/>
      <w:pPr>
        <w:ind w:left="0" w:firstLine="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89914418">
    <w:abstractNumId w:val="1"/>
  </w:num>
  <w:num w:numId="2" w16cid:durableId="1067264196">
    <w:abstractNumId w:val="0"/>
  </w:num>
  <w:num w:numId="3" w16cid:durableId="527983728">
    <w:abstractNumId w:val="2"/>
  </w:num>
  <w:num w:numId="4" w16cid:durableId="675306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30"/>
    <w:rsid w:val="0002282A"/>
    <w:rsid w:val="000243BF"/>
    <w:rsid w:val="000314E0"/>
    <w:rsid w:val="000767E2"/>
    <w:rsid w:val="000A33EB"/>
    <w:rsid w:val="000E2AC6"/>
    <w:rsid w:val="000E52FC"/>
    <w:rsid w:val="0010244E"/>
    <w:rsid w:val="001213A1"/>
    <w:rsid w:val="001318F9"/>
    <w:rsid w:val="00166BED"/>
    <w:rsid w:val="0016761A"/>
    <w:rsid w:val="00177DE6"/>
    <w:rsid w:val="00182C03"/>
    <w:rsid w:val="001D3E45"/>
    <w:rsid w:val="001F270A"/>
    <w:rsid w:val="001F481D"/>
    <w:rsid w:val="0020072A"/>
    <w:rsid w:val="00206765"/>
    <w:rsid w:val="002318A6"/>
    <w:rsid w:val="00257584"/>
    <w:rsid w:val="00257D0C"/>
    <w:rsid w:val="002673D1"/>
    <w:rsid w:val="00273824"/>
    <w:rsid w:val="002817E2"/>
    <w:rsid w:val="002960E0"/>
    <w:rsid w:val="0029658A"/>
    <w:rsid w:val="002A3B3C"/>
    <w:rsid w:val="002B09A2"/>
    <w:rsid w:val="002B76EC"/>
    <w:rsid w:val="002E6D10"/>
    <w:rsid w:val="002F2F4C"/>
    <w:rsid w:val="00304C7F"/>
    <w:rsid w:val="00310430"/>
    <w:rsid w:val="00357587"/>
    <w:rsid w:val="003867BC"/>
    <w:rsid w:val="003B1128"/>
    <w:rsid w:val="003B4053"/>
    <w:rsid w:val="003D45BF"/>
    <w:rsid w:val="00441117"/>
    <w:rsid w:val="00456A49"/>
    <w:rsid w:val="00491488"/>
    <w:rsid w:val="0049425B"/>
    <w:rsid w:val="004A0D5D"/>
    <w:rsid w:val="004F2A1E"/>
    <w:rsid w:val="004F5CE2"/>
    <w:rsid w:val="005350D9"/>
    <w:rsid w:val="005416B0"/>
    <w:rsid w:val="00542503"/>
    <w:rsid w:val="005820EB"/>
    <w:rsid w:val="005874D3"/>
    <w:rsid w:val="005940CE"/>
    <w:rsid w:val="005B7F4B"/>
    <w:rsid w:val="005D2216"/>
    <w:rsid w:val="005E32C4"/>
    <w:rsid w:val="005E362A"/>
    <w:rsid w:val="005F2311"/>
    <w:rsid w:val="00630B65"/>
    <w:rsid w:val="0065092A"/>
    <w:rsid w:val="00660310"/>
    <w:rsid w:val="006850A3"/>
    <w:rsid w:val="00695ED5"/>
    <w:rsid w:val="006B45EC"/>
    <w:rsid w:val="006C45DA"/>
    <w:rsid w:val="006D302E"/>
    <w:rsid w:val="006D5697"/>
    <w:rsid w:val="006E519A"/>
    <w:rsid w:val="007163C2"/>
    <w:rsid w:val="007468A4"/>
    <w:rsid w:val="00761FB3"/>
    <w:rsid w:val="008037C8"/>
    <w:rsid w:val="008200AF"/>
    <w:rsid w:val="00822ABE"/>
    <w:rsid w:val="00825CD1"/>
    <w:rsid w:val="0083709A"/>
    <w:rsid w:val="008425B8"/>
    <w:rsid w:val="00852A5B"/>
    <w:rsid w:val="0085541A"/>
    <w:rsid w:val="008D04D6"/>
    <w:rsid w:val="008E1D23"/>
    <w:rsid w:val="008F1376"/>
    <w:rsid w:val="0092784F"/>
    <w:rsid w:val="009472D2"/>
    <w:rsid w:val="00975FBA"/>
    <w:rsid w:val="00976D9A"/>
    <w:rsid w:val="0098167F"/>
    <w:rsid w:val="009B28B0"/>
    <w:rsid w:val="009B3BC9"/>
    <w:rsid w:val="009C2D4B"/>
    <w:rsid w:val="009E4D64"/>
    <w:rsid w:val="00A01951"/>
    <w:rsid w:val="00A02723"/>
    <w:rsid w:val="00A271D3"/>
    <w:rsid w:val="00A32184"/>
    <w:rsid w:val="00A67007"/>
    <w:rsid w:val="00A736BE"/>
    <w:rsid w:val="00AB6275"/>
    <w:rsid w:val="00AC278D"/>
    <w:rsid w:val="00B24BE5"/>
    <w:rsid w:val="00B32E70"/>
    <w:rsid w:val="00B37FEF"/>
    <w:rsid w:val="00B43C49"/>
    <w:rsid w:val="00B5321E"/>
    <w:rsid w:val="00B56160"/>
    <w:rsid w:val="00B80F45"/>
    <w:rsid w:val="00B90A9E"/>
    <w:rsid w:val="00B93AA5"/>
    <w:rsid w:val="00BA20F3"/>
    <w:rsid w:val="00BA59F1"/>
    <w:rsid w:val="00BC0727"/>
    <w:rsid w:val="00BC5B82"/>
    <w:rsid w:val="00BD3825"/>
    <w:rsid w:val="00C34174"/>
    <w:rsid w:val="00C4464D"/>
    <w:rsid w:val="00C44FE9"/>
    <w:rsid w:val="00C96F49"/>
    <w:rsid w:val="00C972E5"/>
    <w:rsid w:val="00CB0348"/>
    <w:rsid w:val="00CC0156"/>
    <w:rsid w:val="00CC6C13"/>
    <w:rsid w:val="00D32C59"/>
    <w:rsid w:val="00D44FC6"/>
    <w:rsid w:val="00D52CA1"/>
    <w:rsid w:val="00D665D1"/>
    <w:rsid w:val="00DB1ADC"/>
    <w:rsid w:val="00DB3E36"/>
    <w:rsid w:val="00DC4214"/>
    <w:rsid w:val="00DF0368"/>
    <w:rsid w:val="00E30FD1"/>
    <w:rsid w:val="00E431E6"/>
    <w:rsid w:val="00E46141"/>
    <w:rsid w:val="00E64910"/>
    <w:rsid w:val="00E7438A"/>
    <w:rsid w:val="00E84A5D"/>
    <w:rsid w:val="00E92895"/>
    <w:rsid w:val="00EC68FF"/>
    <w:rsid w:val="00ED7C7F"/>
    <w:rsid w:val="00EF0C16"/>
    <w:rsid w:val="00F44CFA"/>
    <w:rsid w:val="00F55C5F"/>
    <w:rsid w:val="00F60A0D"/>
    <w:rsid w:val="00F7337B"/>
    <w:rsid w:val="00F7670A"/>
    <w:rsid w:val="00F82B7C"/>
    <w:rsid w:val="00FB0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7E20C"/>
  <w15:chartTrackingRefBased/>
  <w15:docId w15:val="{B058846E-6C7F-4350-BC09-AF566964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174"/>
    <w:pPr>
      <w:tabs>
        <w:tab w:val="center" w:pos="4153"/>
        <w:tab w:val="right" w:pos="8306"/>
      </w:tabs>
      <w:snapToGrid w:val="0"/>
      <w:jc w:val="center"/>
    </w:pPr>
    <w:rPr>
      <w:sz w:val="18"/>
      <w:szCs w:val="18"/>
    </w:rPr>
  </w:style>
  <w:style w:type="character" w:customStyle="1" w:styleId="a4">
    <w:name w:val="页眉 字符"/>
    <w:basedOn w:val="a0"/>
    <w:link w:val="a3"/>
    <w:uiPriority w:val="99"/>
    <w:rsid w:val="00C34174"/>
    <w:rPr>
      <w:sz w:val="18"/>
      <w:szCs w:val="18"/>
    </w:rPr>
  </w:style>
  <w:style w:type="paragraph" w:styleId="a5">
    <w:name w:val="footer"/>
    <w:basedOn w:val="a"/>
    <w:link w:val="a6"/>
    <w:uiPriority w:val="99"/>
    <w:unhideWhenUsed/>
    <w:rsid w:val="00C34174"/>
    <w:pPr>
      <w:tabs>
        <w:tab w:val="center" w:pos="4153"/>
        <w:tab w:val="right" w:pos="8306"/>
      </w:tabs>
      <w:snapToGrid w:val="0"/>
      <w:jc w:val="left"/>
    </w:pPr>
    <w:rPr>
      <w:sz w:val="18"/>
      <w:szCs w:val="18"/>
    </w:rPr>
  </w:style>
  <w:style w:type="character" w:customStyle="1" w:styleId="a6">
    <w:name w:val="页脚 字符"/>
    <w:basedOn w:val="a0"/>
    <w:link w:val="a5"/>
    <w:uiPriority w:val="99"/>
    <w:rsid w:val="00C34174"/>
    <w:rPr>
      <w:sz w:val="18"/>
      <w:szCs w:val="18"/>
    </w:rPr>
  </w:style>
  <w:style w:type="paragraph" w:styleId="a7">
    <w:name w:val="List Paragraph"/>
    <w:basedOn w:val="a"/>
    <w:uiPriority w:val="34"/>
    <w:qFormat/>
    <w:rsid w:val="005B7F4B"/>
    <w:pPr>
      <w:ind w:firstLineChars="200" w:firstLine="420"/>
    </w:pPr>
  </w:style>
  <w:style w:type="table" w:styleId="a8">
    <w:name w:val="Table Grid"/>
    <w:basedOn w:val="a1"/>
    <w:uiPriority w:val="39"/>
    <w:rsid w:val="00B24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09468">
      <w:bodyDiv w:val="1"/>
      <w:marLeft w:val="0"/>
      <w:marRight w:val="0"/>
      <w:marTop w:val="0"/>
      <w:marBottom w:val="0"/>
      <w:divBdr>
        <w:top w:val="none" w:sz="0" w:space="0" w:color="auto"/>
        <w:left w:val="none" w:sz="0" w:space="0" w:color="auto"/>
        <w:bottom w:val="none" w:sz="0" w:space="0" w:color="auto"/>
        <w:right w:val="none" w:sz="0" w:space="0" w:color="auto"/>
      </w:divBdr>
    </w:div>
    <w:div w:id="689918995">
      <w:bodyDiv w:val="1"/>
      <w:marLeft w:val="0"/>
      <w:marRight w:val="0"/>
      <w:marTop w:val="0"/>
      <w:marBottom w:val="0"/>
      <w:divBdr>
        <w:top w:val="none" w:sz="0" w:space="0" w:color="auto"/>
        <w:left w:val="none" w:sz="0" w:space="0" w:color="auto"/>
        <w:bottom w:val="none" w:sz="0" w:space="0" w:color="auto"/>
        <w:right w:val="none" w:sz="0" w:space="0" w:color="auto"/>
      </w:divBdr>
    </w:div>
    <w:div w:id="860822187">
      <w:bodyDiv w:val="1"/>
      <w:marLeft w:val="0"/>
      <w:marRight w:val="0"/>
      <w:marTop w:val="0"/>
      <w:marBottom w:val="0"/>
      <w:divBdr>
        <w:top w:val="none" w:sz="0" w:space="0" w:color="auto"/>
        <w:left w:val="none" w:sz="0" w:space="0" w:color="auto"/>
        <w:bottom w:val="none" w:sz="0" w:space="0" w:color="auto"/>
        <w:right w:val="none" w:sz="0" w:space="0" w:color="auto"/>
      </w:divBdr>
    </w:div>
    <w:div w:id="948509833">
      <w:bodyDiv w:val="1"/>
      <w:marLeft w:val="0"/>
      <w:marRight w:val="0"/>
      <w:marTop w:val="0"/>
      <w:marBottom w:val="0"/>
      <w:divBdr>
        <w:top w:val="none" w:sz="0" w:space="0" w:color="auto"/>
        <w:left w:val="none" w:sz="0" w:space="0" w:color="auto"/>
        <w:bottom w:val="none" w:sz="0" w:space="0" w:color="auto"/>
        <w:right w:val="none" w:sz="0" w:space="0" w:color="auto"/>
      </w:divBdr>
    </w:div>
    <w:div w:id="1090586738">
      <w:bodyDiv w:val="1"/>
      <w:marLeft w:val="0"/>
      <w:marRight w:val="0"/>
      <w:marTop w:val="0"/>
      <w:marBottom w:val="0"/>
      <w:divBdr>
        <w:top w:val="none" w:sz="0" w:space="0" w:color="auto"/>
        <w:left w:val="none" w:sz="0" w:space="0" w:color="auto"/>
        <w:bottom w:val="none" w:sz="0" w:space="0" w:color="auto"/>
        <w:right w:val="none" w:sz="0" w:space="0" w:color="auto"/>
      </w:divBdr>
    </w:div>
    <w:div w:id="1632784767">
      <w:bodyDiv w:val="1"/>
      <w:marLeft w:val="0"/>
      <w:marRight w:val="0"/>
      <w:marTop w:val="0"/>
      <w:marBottom w:val="0"/>
      <w:divBdr>
        <w:top w:val="none" w:sz="0" w:space="0" w:color="auto"/>
        <w:left w:val="none" w:sz="0" w:space="0" w:color="auto"/>
        <w:bottom w:val="none" w:sz="0" w:space="0" w:color="auto"/>
        <w:right w:val="none" w:sz="0" w:space="0" w:color="auto"/>
      </w:divBdr>
    </w:div>
    <w:div w:id="1806317829">
      <w:bodyDiv w:val="1"/>
      <w:marLeft w:val="0"/>
      <w:marRight w:val="0"/>
      <w:marTop w:val="0"/>
      <w:marBottom w:val="0"/>
      <w:divBdr>
        <w:top w:val="none" w:sz="0" w:space="0" w:color="auto"/>
        <w:left w:val="none" w:sz="0" w:space="0" w:color="auto"/>
        <w:bottom w:val="none" w:sz="0" w:space="0" w:color="auto"/>
        <w:right w:val="none" w:sz="0" w:space="0" w:color="auto"/>
      </w:divBdr>
    </w:div>
    <w:div w:id="1820341967">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5</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诗诗 唐</cp:lastModifiedBy>
  <cp:revision>841</cp:revision>
  <dcterms:created xsi:type="dcterms:W3CDTF">2024-03-14T07:41:00Z</dcterms:created>
  <dcterms:modified xsi:type="dcterms:W3CDTF">2025-03-05T03:14:00Z</dcterms:modified>
</cp:coreProperties>
</file>